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jc w:val="center"/>
        <w:shd w:val="clear" w:color="auto" w:fill="E2EFD9"/>
        <w:tblLook w:val="04A0" w:firstRow="1" w:lastRow="0" w:firstColumn="1" w:lastColumn="0" w:noHBand="0" w:noVBand="1"/>
      </w:tblPr>
      <w:tblGrid>
        <w:gridCol w:w="4788"/>
        <w:gridCol w:w="4959"/>
      </w:tblGrid>
      <w:tr w:rsidR="001F685B" w:rsidRPr="00314154" w14:paraId="6787B420" w14:textId="77777777" w:rsidTr="001F685B">
        <w:trPr>
          <w:jc w:val="center"/>
        </w:trPr>
        <w:tc>
          <w:tcPr>
            <w:tcW w:w="4788" w:type="dxa"/>
            <w:shd w:val="clear" w:color="auto" w:fill="E2EFD9"/>
            <w:hideMark/>
          </w:tcPr>
          <w:p w14:paraId="131BF00D" w14:textId="77777777" w:rsidR="001F685B" w:rsidRPr="00314154" w:rsidRDefault="001F685B" w:rsidP="00FA2EA3">
            <w:pPr>
              <w:pStyle w:val="Header"/>
              <w:tabs>
                <w:tab w:val="left" w:pos="235"/>
                <w:tab w:val="right" w:pos="4215"/>
                <w:tab w:val="right" w:pos="9072"/>
              </w:tabs>
              <w:spacing w:line="276" w:lineRule="auto"/>
              <w:ind w:right="360"/>
              <w:rPr>
                <w:rFonts w:ascii="Times New Roman" w:hAnsi="Times New Roman" w:cs="Times New Roman"/>
                <w:b/>
                <w:bCs/>
                <w:i/>
                <w:iCs/>
                <w:color w:val="403B85"/>
              </w:rPr>
            </w:pPr>
            <w:r w:rsidRPr="00314154">
              <w:rPr>
                <w:rFonts w:ascii="Times New Roman" w:hAnsi="Times New Roman" w:cs="Times New Roman"/>
                <w:b/>
                <w:bCs/>
                <w:i/>
                <w:iCs/>
                <w:color w:val="403B85"/>
              </w:rPr>
              <w:t>Journal of Asian Multicultural Research for Economy and Management Study</w:t>
            </w:r>
          </w:p>
        </w:tc>
        <w:tc>
          <w:tcPr>
            <w:tcW w:w="4959" w:type="dxa"/>
            <w:shd w:val="clear" w:color="auto" w:fill="E2EFD9"/>
            <w:hideMark/>
          </w:tcPr>
          <w:p w14:paraId="31D4ECCB" w14:textId="77777777" w:rsidR="001F685B" w:rsidRPr="00314154" w:rsidRDefault="001F685B" w:rsidP="00FA2EA3">
            <w:pPr>
              <w:pStyle w:val="Header"/>
              <w:tabs>
                <w:tab w:val="left" w:pos="235"/>
                <w:tab w:val="right" w:pos="9000"/>
                <w:tab w:val="right" w:pos="9072"/>
              </w:tabs>
              <w:spacing w:line="276" w:lineRule="auto"/>
              <w:ind w:right="360"/>
              <w:jc w:val="right"/>
              <w:rPr>
                <w:rFonts w:ascii="Times New Roman" w:hAnsi="Times New Roman" w:cs="Times New Roman"/>
                <w:b/>
                <w:bCs/>
                <w:i/>
                <w:iCs/>
                <w:color w:val="403B85"/>
              </w:rPr>
            </w:pPr>
            <w:r w:rsidRPr="00314154">
              <w:rPr>
                <w:rFonts w:ascii="Times New Roman" w:hAnsi="Times New Roman" w:cs="Times New Roman"/>
                <w:b/>
                <w:bCs/>
                <w:i/>
                <w:iCs/>
                <w:color w:val="403B85"/>
              </w:rPr>
              <w:t>ISSN: 2708-9711</w:t>
            </w:r>
          </w:p>
          <w:p w14:paraId="508CF436" w14:textId="77299BD9" w:rsidR="001F685B" w:rsidRPr="00314154" w:rsidRDefault="001F685B" w:rsidP="00FA2EA3">
            <w:pPr>
              <w:pStyle w:val="Header"/>
              <w:tabs>
                <w:tab w:val="left" w:pos="235"/>
                <w:tab w:val="right" w:pos="9000"/>
                <w:tab w:val="right" w:pos="9072"/>
              </w:tabs>
              <w:spacing w:line="276" w:lineRule="auto"/>
              <w:ind w:right="311" w:firstLine="1312"/>
              <w:rPr>
                <w:rFonts w:ascii="Times New Roman" w:hAnsi="Times New Roman" w:cs="Times New Roman"/>
                <w:b/>
                <w:bCs/>
                <w:i/>
                <w:iCs/>
                <w:color w:val="403B85"/>
              </w:rPr>
            </w:pPr>
            <w:r>
              <w:rPr>
                <w:rFonts w:ascii="Times New Roman" w:hAnsi="Times New Roman" w:cs="Times New Roman"/>
                <w:b/>
                <w:bCs/>
                <w:i/>
                <w:iCs/>
                <w:color w:val="403B85"/>
              </w:rPr>
              <w:t xml:space="preserve">Vol. </w:t>
            </w:r>
            <w:r w:rsidR="003A4693">
              <w:rPr>
                <w:rFonts w:ascii="Times New Roman" w:hAnsi="Times New Roman" w:cs="Times New Roman"/>
                <w:b/>
                <w:bCs/>
                <w:i/>
                <w:iCs/>
                <w:color w:val="403B85"/>
              </w:rPr>
              <w:t>5</w:t>
            </w:r>
            <w:r w:rsidRPr="00314154">
              <w:rPr>
                <w:rFonts w:ascii="Times New Roman" w:hAnsi="Times New Roman" w:cs="Times New Roman"/>
                <w:b/>
                <w:bCs/>
                <w:i/>
                <w:iCs/>
                <w:color w:val="403B85"/>
              </w:rPr>
              <w:t xml:space="preserve"> No. </w:t>
            </w:r>
            <w:r w:rsidR="003A4693">
              <w:rPr>
                <w:rFonts w:ascii="Times New Roman" w:hAnsi="Times New Roman" w:cs="Times New Roman"/>
                <w:b/>
                <w:bCs/>
                <w:i/>
                <w:iCs/>
                <w:color w:val="403B85"/>
              </w:rPr>
              <w:t>3</w:t>
            </w:r>
            <w:r>
              <w:rPr>
                <w:rFonts w:ascii="Times New Roman" w:hAnsi="Times New Roman" w:cs="Times New Roman"/>
                <w:b/>
                <w:bCs/>
                <w:i/>
                <w:iCs/>
                <w:color w:val="403B85"/>
              </w:rPr>
              <w:t>, 202</w:t>
            </w:r>
            <w:r w:rsidR="003A4693">
              <w:rPr>
                <w:rFonts w:ascii="Times New Roman" w:hAnsi="Times New Roman" w:cs="Times New Roman"/>
                <w:b/>
                <w:bCs/>
                <w:i/>
                <w:iCs/>
                <w:color w:val="403B85"/>
              </w:rPr>
              <w:t>4</w:t>
            </w:r>
            <w:r>
              <w:rPr>
                <w:rFonts w:ascii="Times New Roman" w:hAnsi="Times New Roman" w:cs="Times New Roman"/>
                <w:b/>
                <w:bCs/>
                <w:i/>
                <w:iCs/>
                <w:color w:val="403B85"/>
              </w:rPr>
              <w:t xml:space="preserve"> (page 0</w:t>
            </w:r>
            <w:r w:rsidR="003A4693">
              <w:rPr>
                <w:rFonts w:ascii="Times New Roman" w:hAnsi="Times New Roman" w:cs="Times New Roman"/>
                <w:b/>
                <w:bCs/>
                <w:i/>
                <w:iCs/>
                <w:color w:val="403B85"/>
              </w:rPr>
              <w:t>25</w:t>
            </w:r>
            <w:r>
              <w:rPr>
                <w:rFonts w:ascii="Times New Roman" w:hAnsi="Times New Roman" w:cs="Times New Roman"/>
                <w:b/>
                <w:bCs/>
                <w:i/>
                <w:iCs/>
                <w:color w:val="403B85"/>
              </w:rPr>
              <w:t>-0</w:t>
            </w:r>
            <w:r w:rsidR="003A4693">
              <w:rPr>
                <w:rFonts w:ascii="Times New Roman" w:hAnsi="Times New Roman" w:cs="Times New Roman"/>
                <w:b/>
                <w:bCs/>
                <w:i/>
                <w:iCs/>
                <w:color w:val="403B85"/>
              </w:rPr>
              <w:t>41</w:t>
            </w:r>
            <w:r w:rsidRPr="00314154">
              <w:rPr>
                <w:rFonts w:ascii="Times New Roman" w:hAnsi="Times New Roman" w:cs="Times New Roman"/>
                <w:b/>
                <w:bCs/>
                <w:i/>
                <w:iCs/>
                <w:color w:val="403B85"/>
              </w:rPr>
              <w:t>)</w:t>
            </w:r>
          </w:p>
          <w:p w14:paraId="4A819040" w14:textId="1BF131AD" w:rsidR="001F685B" w:rsidRPr="007D4A88" w:rsidRDefault="001F685B" w:rsidP="00FA2EA3">
            <w:pPr>
              <w:pStyle w:val="Header"/>
              <w:tabs>
                <w:tab w:val="clear" w:pos="4513"/>
                <w:tab w:val="left" w:pos="235"/>
                <w:tab w:val="center" w:pos="4568"/>
                <w:tab w:val="right" w:pos="9000"/>
                <w:tab w:val="right" w:pos="9072"/>
              </w:tabs>
              <w:spacing w:line="276" w:lineRule="auto"/>
              <w:ind w:right="311"/>
              <w:rPr>
                <w:rFonts w:ascii="Times New Roman" w:hAnsi="Times New Roman" w:cs="Times New Roman"/>
                <w:bCs/>
                <w:i/>
                <w:iCs/>
                <w:color w:val="403B85"/>
              </w:rPr>
            </w:pPr>
            <w:r w:rsidRPr="00314154">
              <w:rPr>
                <w:rFonts w:ascii="Times New Roman" w:hAnsi="Times New Roman" w:cs="Times New Roman"/>
                <w:bCs/>
                <w:i/>
                <w:iCs/>
                <w:color w:val="403B85"/>
              </w:rPr>
              <w:t xml:space="preserve">DOI: </w:t>
            </w:r>
            <w:hyperlink r:id="rId8" w:history="1">
              <w:r w:rsidR="003A4693" w:rsidRPr="005519A6">
                <w:rPr>
                  <w:rStyle w:val="Hyperlink"/>
                  <w:rFonts w:ascii="Times New Roman" w:hAnsi="Times New Roman" w:cs="Times New Roman"/>
                  <w:i/>
                  <w:iCs/>
                </w:rPr>
                <w:t>https://doi.org/10.47616/jamrems.v5i3.536</w:t>
              </w:r>
            </w:hyperlink>
            <w:r>
              <w:t xml:space="preserve"> </w:t>
            </w:r>
            <w:r>
              <w:rPr>
                <w:rStyle w:val="Hyperlink"/>
                <w:rFonts w:ascii="Times New Roman" w:hAnsi="Times New Roman" w:cs="Times New Roman"/>
                <w:i/>
                <w:iCs/>
              </w:rPr>
              <w:t xml:space="preserve"> </w:t>
            </w:r>
          </w:p>
        </w:tc>
      </w:tr>
    </w:tbl>
    <w:p w14:paraId="41BA7404" w14:textId="348239D8" w:rsidR="007C1121" w:rsidRPr="00585912" w:rsidRDefault="00585912" w:rsidP="005857F0">
      <w:pPr>
        <w:spacing w:before="120" w:after="120" w:line="240" w:lineRule="auto"/>
        <w:jc w:val="center"/>
        <w:rPr>
          <w:rFonts w:ascii="Times New Roman" w:hAnsi="Times New Roman" w:cs="Times New Roman"/>
          <w:b/>
          <w:sz w:val="24"/>
          <w:szCs w:val="24"/>
        </w:rPr>
      </w:pPr>
      <w:r w:rsidRPr="00585912">
        <w:rPr>
          <w:rFonts w:ascii="Times New Roman" w:hAnsi="Times New Roman" w:cs="Times New Roman"/>
          <w:b/>
          <w:sz w:val="24"/>
          <w:szCs w:val="24"/>
        </w:rPr>
        <w:t>Business Ecosystem Architecture Development: A Case Study of IoT Business in the Transportation Industry</w:t>
      </w:r>
    </w:p>
    <w:p w14:paraId="3B3869B1" w14:textId="77777777" w:rsidR="00084B2B" w:rsidRDefault="009B58E8" w:rsidP="005857F0">
      <w:pPr>
        <w:pStyle w:val="ListParagraph"/>
        <w:spacing w:before="120" w:after="120" w:line="240" w:lineRule="auto"/>
        <w:contextualSpacing w:val="0"/>
        <w:jc w:val="center"/>
        <w:rPr>
          <w:rFonts w:ascii="Times New Roman" w:hAnsi="Times New Roman" w:cs="Times New Roman"/>
          <w:sz w:val="24"/>
          <w:szCs w:val="24"/>
        </w:rPr>
      </w:pPr>
      <w:proofErr w:type="spellStart"/>
      <w:r w:rsidRPr="009B58E8">
        <w:rPr>
          <w:rFonts w:ascii="Times New Roman" w:hAnsi="Times New Roman" w:cs="Times New Roman"/>
          <w:sz w:val="24"/>
          <w:szCs w:val="24"/>
        </w:rPr>
        <w:t>Rahmat</w:t>
      </w:r>
      <w:proofErr w:type="spellEnd"/>
      <w:r w:rsidRPr="009B58E8">
        <w:rPr>
          <w:rFonts w:ascii="Times New Roman" w:hAnsi="Times New Roman" w:cs="Times New Roman"/>
          <w:sz w:val="24"/>
          <w:szCs w:val="24"/>
        </w:rPr>
        <w:t xml:space="preserve"> </w:t>
      </w:r>
      <w:proofErr w:type="spellStart"/>
      <w:r w:rsidRPr="009B58E8">
        <w:rPr>
          <w:rFonts w:ascii="Times New Roman" w:hAnsi="Times New Roman" w:cs="Times New Roman"/>
          <w:sz w:val="24"/>
          <w:szCs w:val="24"/>
        </w:rPr>
        <w:t>Hardian</w:t>
      </w:r>
      <w:proofErr w:type="spellEnd"/>
      <w:r w:rsidRPr="009B58E8">
        <w:rPr>
          <w:rFonts w:ascii="Times New Roman" w:hAnsi="Times New Roman" w:cs="Times New Roman"/>
          <w:sz w:val="24"/>
          <w:szCs w:val="24"/>
        </w:rPr>
        <w:t xml:space="preserve"> Putra</w:t>
      </w:r>
      <w:r w:rsidRPr="009B58E8">
        <w:rPr>
          <w:rFonts w:ascii="Times New Roman" w:hAnsi="Times New Roman" w:cs="Times New Roman"/>
          <w:sz w:val="24"/>
          <w:szCs w:val="24"/>
          <w:vertAlign w:val="superscript"/>
        </w:rPr>
        <w:t>1</w:t>
      </w:r>
      <w:r w:rsidRPr="009B58E8">
        <w:rPr>
          <w:rFonts w:ascii="Times New Roman" w:hAnsi="Times New Roman" w:cs="Times New Roman"/>
          <w:sz w:val="24"/>
          <w:szCs w:val="24"/>
        </w:rPr>
        <w:t>, Mohammad Riza Sutjipto</w:t>
      </w:r>
      <w:r w:rsidRPr="009B58E8">
        <w:rPr>
          <w:rFonts w:ascii="Times New Roman" w:hAnsi="Times New Roman" w:cs="Times New Roman"/>
          <w:sz w:val="24"/>
          <w:szCs w:val="24"/>
          <w:vertAlign w:val="superscript"/>
        </w:rPr>
        <w:t>1</w:t>
      </w:r>
      <w:r w:rsidRPr="009B58E8">
        <w:rPr>
          <w:rFonts w:ascii="Times New Roman" w:hAnsi="Times New Roman" w:cs="Times New Roman"/>
          <w:sz w:val="24"/>
          <w:szCs w:val="24"/>
        </w:rPr>
        <w:t>, Aji Widodo</w:t>
      </w:r>
      <w:r w:rsidRPr="009B58E8">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9B58E8">
        <w:rPr>
          <w:rFonts w:ascii="Times New Roman" w:hAnsi="Times New Roman" w:cs="Times New Roman"/>
          <w:sz w:val="24"/>
          <w:szCs w:val="24"/>
        </w:rPr>
        <w:t>Sri Kuntadi</w:t>
      </w:r>
      <w:r>
        <w:rPr>
          <w:rFonts w:ascii="Times New Roman" w:hAnsi="Times New Roman" w:cs="Times New Roman"/>
          <w:sz w:val="24"/>
          <w:szCs w:val="24"/>
          <w:vertAlign w:val="superscript"/>
        </w:rPr>
        <w:t>2</w:t>
      </w:r>
    </w:p>
    <w:p w14:paraId="29018C0E" w14:textId="15D8C348" w:rsidR="005857F0" w:rsidRPr="005857F0" w:rsidRDefault="00084B2B" w:rsidP="005857F0">
      <w:pPr>
        <w:pStyle w:val="ListParagraph"/>
        <w:spacing w:before="120" w:after="120" w:line="240" w:lineRule="auto"/>
        <w:contextualSpacing w:val="0"/>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9" w:history="1">
        <w:r w:rsidRPr="005708B2">
          <w:rPr>
            <w:rStyle w:val="Hyperlink"/>
            <w:rFonts w:ascii="Times New Roman" w:hAnsi="Times New Roman" w:cs="Times New Roman"/>
            <w:sz w:val="24"/>
            <w:szCs w:val="24"/>
          </w:rPr>
          <w:t>rahmat.putra@telkom.co.id</w:t>
        </w:r>
      </w:hyperlink>
    </w:p>
    <w:p w14:paraId="3B66BD51" w14:textId="7DB1C349" w:rsidR="009F4DA5" w:rsidRDefault="00840A07" w:rsidP="005857F0">
      <w:pPr>
        <w:spacing w:before="120" w:after="120" w:line="240" w:lineRule="auto"/>
        <w:ind w:left="720"/>
        <w:jc w:val="center"/>
        <w:rPr>
          <w:rFonts w:ascii="Times New Roman" w:hAnsi="Times New Roman" w:cs="Times New Roman"/>
          <w:bCs/>
          <w:sz w:val="24"/>
          <w:szCs w:val="24"/>
        </w:rPr>
      </w:pPr>
      <w:r w:rsidRPr="00840A07">
        <w:rPr>
          <w:rFonts w:ascii="Times New Roman" w:hAnsi="Times New Roman" w:cs="Times New Roman"/>
          <w:bCs/>
          <w:sz w:val="24"/>
          <w:szCs w:val="24"/>
          <w:vertAlign w:val="superscript"/>
        </w:rPr>
        <w:t>1</w:t>
      </w:r>
      <w:r w:rsidR="009B58E8" w:rsidRPr="009B58E8">
        <w:rPr>
          <w:rFonts w:ascii="Times New Roman" w:hAnsi="Times New Roman" w:cs="Times New Roman"/>
          <w:bCs/>
          <w:sz w:val="24"/>
          <w:szCs w:val="24"/>
        </w:rPr>
        <w:t>Master of Management, Telkom University, Bandung</w:t>
      </w:r>
    </w:p>
    <w:p w14:paraId="6F79AA29" w14:textId="68B20E98" w:rsidR="00840A07" w:rsidRDefault="00840A07" w:rsidP="005857F0">
      <w:pPr>
        <w:spacing w:before="120" w:after="120" w:line="240" w:lineRule="auto"/>
        <w:ind w:left="720"/>
        <w:jc w:val="center"/>
        <w:rPr>
          <w:rFonts w:ascii="Times New Roman" w:hAnsi="Times New Roman" w:cs="Times New Roman"/>
          <w:bCs/>
          <w:sz w:val="24"/>
          <w:szCs w:val="24"/>
        </w:rPr>
      </w:pPr>
      <w:r w:rsidRPr="00840A07">
        <w:rPr>
          <w:rFonts w:ascii="Times New Roman" w:hAnsi="Times New Roman" w:cs="Times New Roman"/>
          <w:bCs/>
          <w:sz w:val="24"/>
          <w:szCs w:val="24"/>
          <w:vertAlign w:val="superscript"/>
        </w:rPr>
        <w:t>2</w:t>
      </w:r>
      <w:r w:rsidR="009B58E8" w:rsidRPr="009B58E8">
        <w:rPr>
          <w:rFonts w:ascii="Times New Roman" w:hAnsi="Times New Roman" w:cs="Times New Roman"/>
          <w:bCs/>
          <w:sz w:val="24"/>
          <w:szCs w:val="24"/>
        </w:rPr>
        <w:t>Telkom Indonesia, Bandung</w:t>
      </w:r>
    </w:p>
    <w:p w14:paraId="7321CEBA" w14:textId="77777777" w:rsidR="00C111A2" w:rsidRDefault="00C111A2" w:rsidP="00C111A2">
      <w:pPr>
        <w:spacing w:before="120" w:after="120" w:line="240" w:lineRule="auto"/>
        <w:rPr>
          <w:rFonts w:ascii="Times New Roman" w:hAnsi="Times New Roman" w:cs="Times New Roman"/>
          <w:bCs/>
          <w:sz w:val="18"/>
          <w:szCs w:val="18"/>
        </w:rPr>
        <w:sectPr w:rsidR="00C111A2" w:rsidSect="003A4693">
          <w:footerReference w:type="default" r:id="rId10"/>
          <w:pgSz w:w="11906" w:h="16838" w:code="9"/>
          <w:pgMar w:top="1440" w:right="1440" w:bottom="1440" w:left="1440" w:header="708" w:footer="708" w:gutter="0"/>
          <w:pgNumType w:start="25"/>
          <w:cols w:space="708"/>
          <w:docGrid w:linePitch="360"/>
        </w:sectPr>
      </w:pPr>
    </w:p>
    <w:p w14:paraId="7304A536" w14:textId="10625195" w:rsidR="00C111A2" w:rsidRDefault="00C111A2" w:rsidP="00C111A2">
      <w:pPr>
        <w:spacing w:before="120" w:after="120" w:line="240" w:lineRule="auto"/>
        <w:jc w:val="center"/>
        <w:rPr>
          <w:rFonts w:ascii="Times New Roman" w:hAnsi="Times New Roman" w:cs="Times New Roman"/>
          <w:bCs/>
          <w:sz w:val="18"/>
          <w:szCs w:val="18"/>
        </w:rPr>
      </w:pPr>
      <w:r>
        <w:rPr>
          <w:rFonts w:ascii="Times New Roman" w:hAnsi="Times New Roman" w:cs="Times New Roman"/>
          <w:bCs/>
          <w:sz w:val="18"/>
          <w:szCs w:val="18"/>
        </w:rPr>
        <w:t xml:space="preserve">Received: </w:t>
      </w:r>
      <w:r w:rsidR="003A4693">
        <w:rPr>
          <w:rFonts w:ascii="Times New Roman" w:hAnsi="Times New Roman" w:cs="Times New Roman"/>
          <w:bCs/>
          <w:sz w:val="18"/>
          <w:szCs w:val="18"/>
        </w:rPr>
        <w:t>July</w:t>
      </w:r>
      <w:r w:rsidR="00683712">
        <w:rPr>
          <w:rFonts w:ascii="Times New Roman" w:hAnsi="Times New Roman" w:cs="Times New Roman"/>
          <w:bCs/>
          <w:sz w:val="18"/>
          <w:szCs w:val="18"/>
        </w:rPr>
        <w:t xml:space="preserve"> </w:t>
      </w:r>
      <w:r w:rsidR="003A4693">
        <w:rPr>
          <w:rFonts w:ascii="Times New Roman" w:hAnsi="Times New Roman" w:cs="Times New Roman"/>
          <w:bCs/>
          <w:sz w:val="18"/>
          <w:szCs w:val="18"/>
        </w:rPr>
        <w:t>21</w:t>
      </w:r>
      <w:r w:rsidR="00683712">
        <w:rPr>
          <w:rFonts w:ascii="Times New Roman" w:hAnsi="Times New Roman" w:cs="Times New Roman"/>
          <w:bCs/>
          <w:sz w:val="18"/>
          <w:szCs w:val="18"/>
        </w:rPr>
        <w:t xml:space="preserve">, </w:t>
      </w:r>
      <w:r w:rsidR="003A4693">
        <w:rPr>
          <w:rFonts w:ascii="Times New Roman" w:hAnsi="Times New Roman" w:cs="Times New Roman"/>
          <w:bCs/>
          <w:sz w:val="18"/>
          <w:szCs w:val="18"/>
        </w:rPr>
        <w:t>2024</w:t>
      </w:r>
    </w:p>
    <w:p w14:paraId="1442FB56" w14:textId="4163BBCE" w:rsidR="00C111A2" w:rsidRDefault="00C111A2" w:rsidP="00C111A2">
      <w:pPr>
        <w:spacing w:before="120" w:after="120" w:line="240" w:lineRule="auto"/>
        <w:jc w:val="center"/>
        <w:rPr>
          <w:rFonts w:ascii="Times New Roman" w:hAnsi="Times New Roman" w:cs="Times New Roman"/>
          <w:bCs/>
          <w:sz w:val="18"/>
          <w:szCs w:val="18"/>
        </w:rPr>
      </w:pPr>
      <w:r>
        <w:rPr>
          <w:rFonts w:ascii="Times New Roman" w:hAnsi="Times New Roman" w:cs="Times New Roman"/>
          <w:bCs/>
          <w:sz w:val="18"/>
          <w:szCs w:val="18"/>
        </w:rPr>
        <w:t xml:space="preserve">Received in revised: </w:t>
      </w:r>
      <w:r w:rsidR="003A4693">
        <w:rPr>
          <w:rFonts w:ascii="Times New Roman" w:hAnsi="Times New Roman" w:cs="Times New Roman"/>
          <w:bCs/>
          <w:sz w:val="18"/>
          <w:szCs w:val="18"/>
        </w:rPr>
        <w:t>August</w:t>
      </w:r>
      <w:r w:rsidR="00683712">
        <w:rPr>
          <w:rFonts w:ascii="Times New Roman" w:hAnsi="Times New Roman" w:cs="Times New Roman"/>
          <w:bCs/>
          <w:sz w:val="18"/>
          <w:szCs w:val="18"/>
        </w:rPr>
        <w:t xml:space="preserve"> </w:t>
      </w:r>
      <w:r w:rsidR="003A4693">
        <w:rPr>
          <w:rFonts w:ascii="Times New Roman" w:hAnsi="Times New Roman" w:cs="Times New Roman"/>
          <w:bCs/>
          <w:sz w:val="18"/>
          <w:szCs w:val="18"/>
        </w:rPr>
        <w:t>16</w:t>
      </w:r>
      <w:r w:rsidR="00683712">
        <w:rPr>
          <w:rFonts w:ascii="Times New Roman" w:hAnsi="Times New Roman" w:cs="Times New Roman"/>
          <w:bCs/>
          <w:sz w:val="18"/>
          <w:szCs w:val="18"/>
        </w:rPr>
        <w:t xml:space="preserve">, </w:t>
      </w:r>
      <w:r w:rsidR="003A4693">
        <w:rPr>
          <w:rFonts w:ascii="Times New Roman" w:hAnsi="Times New Roman" w:cs="Times New Roman"/>
          <w:bCs/>
          <w:sz w:val="18"/>
          <w:szCs w:val="18"/>
        </w:rPr>
        <w:t>2024</w:t>
      </w:r>
    </w:p>
    <w:p w14:paraId="68B0C950" w14:textId="1FBBE96A" w:rsidR="00C111A2" w:rsidRDefault="006C44A7" w:rsidP="00C111A2">
      <w:pPr>
        <w:spacing w:before="120" w:after="120" w:line="240" w:lineRule="auto"/>
        <w:jc w:val="center"/>
        <w:rPr>
          <w:rFonts w:ascii="Times New Roman" w:hAnsi="Times New Roman" w:cs="Times New Roman"/>
          <w:bCs/>
          <w:sz w:val="18"/>
          <w:szCs w:val="18"/>
        </w:rPr>
        <w:sectPr w:rsidR="00C111A2" w:rsidSect="003A4693">
          <w:type w:val="continuous"/>
          <w:pgSz w:w="11906" w:h="16838" w:code="9"/>
          <w:pgMar w:top="1440" w:right="1440" w:bottom="1440" w:left="1440" w:header="708" w:footer="708" w:gutter="0"/>
          <w:pgNumType w:start="25"/>
          <w:cols w:num="3" w:space="293"/>
          <w:docGrid w:linePitch="360"/>
        </w:sectPr>
      </w:pPr>
      <w:r w:rsidRPr="006C44A7">
        <w:rPr>
          <w:rFonts w:ascii="Times New Roman" w:hAnsi="Times New Roman" w:cs="Times New Roman"/>
          <w:bCs/>
          <w:sz w:val="18"/>
          <w:szCs w:val="18"/>
        </w:rPr>
        <w:t xml:space="preserve">Accepted: </w:t>
      </w:r>
      <w:r w:rsidR="003A4693">
        <w:rPr>
          <w:rFonts w:ascii="Times New Roman" w:hAnsi="Times New Roman" w:cs="Times New Roman"/>
          <w:bCs/>
          <w:sz w:val="18"/>
          <w:szCs w:val="18"/>
        </w:rPr>
        <w:t>September</w:t>
      </w:r>
      <w:r w:rsidR="00683712">
        <w:rPr>
          <w:rFonts w:ascii="Times New Roman" w:hAnsi="Times New Roman" w:cs="Times New Roman"/>
          <w:bCs/>
          <w:sz w:val="18"/>
          <w:szCs w:val="18"/>
        </w:rPr>
        <w:t xml:space="preserve"> </w:t>
      </w:r>
      <w:r w:rsidR="003A4693">
        <w:rPr>
          <w:rFonts w:ascii="Times New Roman" w:hAnsi="Times New Roman" w:cs="Times New Roman"/>
          <w:bCs/>
          <w:sz w:val="18"/>
          <w:szCs w:val="18"/>
        </w:rPr>
        <w:t>15</w:t>
      </w:r>
      <w:r w:rsidR="00683712">
        <w:rPr>
          <w:rFonts w:ascii="Times New Roman" w:hAnsi="Times New Roman" w:cs="Times New Roman"/>
          <w:bCs/>
          <w:sz w:val="18"/>
          <w:szCs w:val="18"/>
        </w:rPr>
        <w:t xml:space="preserve">, </w:t>
      </w:r>
      <w:r w:rsidR="003A4693">
        <w:rPr>
          <w:rFonts w:ascii="Times New Roman" w:hAnsi="Times New Roman" w:cs="Times New Roman"/>
          <w:bCs/>
          <w:sz w:val="18"/>
          <w:szCs w:val="18"/>
        </w:rPr>
        <w:t>2024</w:t>
      </w:r>
    </w:p>
    <w:p w14:paraId="6127EF4E" w14:textId="77777777" w:rsidR="006C44A7" w:rsidRDefault="001F02E5" w:rsidP="006C44A7">
      <w:pPr>
        <w:spacing w:before="120" w:after="120" w:line="24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16CEF85C" wp14:editId="1D1AA010">
                <wp:simplePos x="0" y="0"/>
                <wp:positionH relativeFrom="column">
                  <wp:posOffset>7951</wp:posOffset>
                </wp:positionH>
                <wp:positionV relativeFrom="paragraph">
                  <wp:posOffset>182880</wp:posOffset>
                </wp:positionV>
                <wp:extent cx="57150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du="http://schemas.microsoft.com/office/word/2023/wordml/word16du">
            <w:pict>
              <v:line w14:anchorId="7D398FDA"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5pt,14.4pt" to="450.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" strokecolor="black [3040]"/>
            </w:pict>
          </mc:Fallback>
        </mc:AlternateContent>
      </w:r>
      <w:r w:rsidR="006C44A7">
        <w:rPr>
          <w:rFonts w:ascii="Times New Roman" w:hAnsi="Times New Roman" w:cs="Times New Roman"/>
          <w:b/>
          <w:sz w:val="24"/>
          <w:szCs w:val="24"/>
        </w:rPr>
        <w:t>Abstract</w:t>
      </w:r>
    </w:p>
    <w:p w14:paraId="54147D18" w14:textId="03B683E4" w:rsidR="006C44A7" w:rsidRPr="00EA24A8" w:rsidRDefault="009B58E8" w:rsidP="006C44A7">
      <w:pPr>
        <w:spacing w:before="120" w:after="120" w:line="240" w:lineRule="auto"/>
        <w:jc w:val="both"/>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217B59F6" wp14:editId="2949685F">
                <wp:simplePos x="0" y="0"/>
                <wp:positionH relativeFrom="column">
                  <wp:posOffset>-19685</wp:posOffset>
                </wp:positionH>
                <wp:positionV relativeFrom="paragraph">
                  <wp:posOffset>3556000</wp:posOffset>
                </wp:positionV>
                <wp:extent cx="5715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du="http://schemas.microsoft.com/office/word/2023/wordml/word16du">
            <w:pict>
              <v:line w14:anchorId="49134216"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5pt,280pt" to="448.45pt,2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" strokecolor="black [3040]"/>
            </w:pict>
          </mc:Fallback>
        </mc:AlternateContent>
      </w:r>
      <w:r w:rsidRPr="009B58E8">
        <w:rPr>
          <w:rFonts w:ascii="Times New Roman" w:hAnsi="Times New Roman" w:cs="Times New Roman"/>
          <w:noProof/>
          <w:sz w:val="24"/>
          <w:szCs w:val="24"/>
        </w:rPr>
        <w:t>The research aims to study business ecosystem architecture in the Internet of Things (IoT) scope, especially in the transport industry. This research uses a qualitative approach with the Research and Development (R&amp;D) method with the Modeling Business Ecosystem Architecture (TEAM) research design. Informants consist of internal and external sources who provide a practical and comprehensive perspective on the IoT transportation business ecosystem at Telkom Indonesia. Data collection was conducted through in-depth interviews, observations, and literature studies. The results showed that, in mapping the IoT business ecosystem in Telkom Indonesia’s transportation sector. The findings highlighted several challenges, such as the limited readiness of human resources and the lack of local device manufacturers resulting in a lack of competitiveness of IoT solutions. There is a need for a business ecosystem architecture that focuses on examining actors, roles, and value offered and mapping interactions between actors. With a co-creation approach, actors in the ecosystem can actively collaborate in designing, developing, and implementing more innovative and adaptive solutions. Through the co-creation process, customers, service providers, application developers, and other actors can share knowledge, experiences, and resources to create solutions that better suit the needs and expectations of all parties involved. This research maps the IoT business ecosystem in the transport sector developed by Telkom Indonesia. Telkom Indonesia is a solution provider, where the importance of collaboration of each actor, including device providers, application developers, and customers, is crucial to overcoming challenges and maximizing the ecosystem’s potential</w:t>
      </w:r>
      <w:r w:rsidR="00394363">
        <w:rPr>
          <w:rFonts w:ascii="Times New Roman" w:hAnsi="Times New Roman" w:cs="Times New Roman"/>
          <w:noProof/>
          <w:sz w:val="24"/>
          <w:szCs w:val="24"/>
        </w:rPr>
        <w:t>.</w:t>
      </w:r>
    </w:p>
    <w:p w14:paraId="2592EA06" w14:textId="24A9C411" w:rsidR="009B58E8" w:rsidRDefault="009B58E8" w:rsidP="00A10522">
      <w:pPr>
        <w:spacing w:before="120" w:after="120" w:line="24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1902824F" wp14:editId="5EFC59C9">
                <wp:simplePos x="0" y="0"/>
                <wp:positionH relativeFrom="column">
                  <wp:posOffset>635</wp:posOffset>
                </wp:positionH>
                <wp:positionV relativeFrom="paragraph">
                  <wp:posOffset>403860</wp:posOffset>
                </wp:positionV>
                <wp:extent cx="57150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du="http://schemas.microsoft.com/office/word/2023/wordml/word16du">
            <w:pict>
              <v:line w14:anchorId="062EE0B5" id="Straight Connector 4"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5pt,31.8pt" to="450.0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" strokecolor="black [3040]"/>
            </w:pict>
          </mc:Fallback>
        </mc:AlternateContent>
      </w:r>
      <w:r w:rsidR="006C44A7">
        <w:rPr>
          <w:rFonts w:ascii="Times New Roman" w:hAnsi="Times New Roman" w:cs="Times New Roman"/>
          <w:b/>
          <w:sz w:val="24"/>
          <w:szCs w:val="24"/>
        </w:rPr>
        <w:t>Keywords:</w:t>
      </w:r>
      <w:r w:rsidR="001B5BB6">
        <w:rPr>
          <w:rFonts w:ascii="Times New Roman" w:hAnsi="Times New Roman" w:cs="Times New Roman"/>
          <w:b/>
          <w:sz w:val="24"/>
          <w:szCs w:val="24"/>
        </w:rPr>
        <w:t xml:space="preserve"> </w:t>
      </w:r>
      <w:r w:rsidRPr="009B58E8">
        <w:rPr>
          <w:rFonts w:ascii="Times New Roman" w:hAnsi="Times New Roman" w:cs="Times New Roman"/>
          <w:sz w:val="24"/>
          <w:szCs w:val="24"/>
        </w:rPr>
        <w:t>Ecosystem Architecture; Business Ecosystem; Internet of Things (IoT), Transportation</w:t>
      </w:r>
    </w:p>
    <w:p w14:paraId="495B23A1" w14:textId="120D5C19" w:rsidR="00A10522" w:rsidRDefault="007E22AC" w:rsidP="00A10522">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Introduction</w:t>
      </w:r>
    </w:p>
    <w:p w14:paraId="41CD0752" w14:textId="77777777" w:rsidR="009B58E8" w:rsidRDefault="009B58E8" w:rsidP="009B58E8">
      <w:pPr>
        <w:spacing w:before="120" w:after="120" w:line="240" w:lineRule="auto"/>
        <w:jc w:val="both"/>
        <w:rPr>
          <w:rFonts w:ascii="Times New Roman" w:eastAsia="Times New Roman" w:hAnsi="Times New Roman" w:cs="Times New Roman"/>
          <w:sz w:val="24"/>
          <w:szCs w:val="24"/>
          <w:shd w:val="clear" w:color="auto" w:fill="FFFFFF"/>
          <w:lang w:val="id-ID"/>
        </w:rPr>
      </w:pPr>
      <w:r w:rsidRPr="009B58E8">
        <w:rPr>
          <w:rFonts w:ascii="Times New Roman" w:hAnsi="Times New Roman" w:cs="Times New Roman"/>
          <w:sz w:val="24"/>
          <w:szCs w:val="24"/>
        </w:rPr>
        <w:t xml:space="preserve">The potential of the IoT business in Indonesia is currently growing along with the dynamics of digital economic development. The IoT business market in Indonesia is predicted to reach US$40 billion, by 2025 with 678 connected IoT devices </w:t>
      </w:r>
      <w:r w:rsidRPr="009B58E8">
        <w:rPr>
          <w:rFonts w:ascii="Times New Roman" w:hAnsi="Times New Roman" w:cs="Times New Roman"/>
          <w:sz w:val="24"/>
          <w:szCs w:val="24"/>
        </w:rPr>
        <w:fldChar w:fldCharType="begin" w:fldLock="1"/>
      </w:r>
      <w:r w:rsidRPr="009B58E8">
        <w:rPr>
          <w:rFonts w:ascii="Times New Roman" w:hAnsi="Times New Roman" w:cs="Times New Roman"/>
          <w:sz w:val="24"/>
          <w:szCs w:val="24"/>
        </w:rPr>
        <w:instrText>ADDIN CSL_CITATION {"citationItems":[{"id":"ITEM-1","itemData":{"URL":"https://ekonomi.republika.co.id/berita/rrkde1396/pasar-iot-di-indonesia-pada-2025-diprediksi-capai-rp-5727-triliun","author":[{"dropping-particle":"","family":"Yulianto","given":"Agus","non-dropping-particle":"","parse-names":false,"suffix":""}],"id":"ITEM-1","issued":{"date-parts":[["2023"]]},"title":"Pasar IoT di Indonesia pada 2025 Diprediksi Capai Rp 572,7 Triliun","type":"webpage"},"uris":["http://www.mendeley.com/documents/?uuid=b2d24fb3-f099-40a6-9f97-0b8e4b76dd16"]}],"mendeley":{"formattedCitation":"(Yulianto, 2023)","plainTextFormattedCitation":"(Yulianto, 2023)","previouslyFormattedCitation":"(Yulianto, 2023)"},"properties":{"noteIndex":0},"schema":"https://github.com/citation-style-language/schema/raw/master/csl-citation.json"}</w:instrText>
      </w:r>
      <w:r w:rsidRPr="009B58E8">
        <w:rPr>
          <w:rFonts w:ascii="Times New Roman" w:hAnsi="Times New Roman" w:cs="Times New Roman"/>
          <w:sz w:val="24"/>
          <w:szCs w:val="24"/>
        </w:rPr>
        <w:fldChar w:fldCharType="separate"/>
      </w:r>
      <w:r w:rsidRPr="009B58E8">
        <w:rPr>
          <w:rFonts w:ascii="Times New Roman" w:hAnsi="Times New Roman" w:cs="Times New Roman"/>
          <w:noProof/>
          <w:sz w:val="24"/>
          <w:szCs w:val="24"/>
        </w:rPr>
        <w:t>(Yulianto, 2023)</w:t>
      </w:r>
      <w:r w:rsidRPr="009B58E8">
        <w:rPr>
          <w:rFonts w:ascii="Times New Roman" w:hAnsi="Times New Roman" w:cs="Times New Roman"/>
          <w:sz w:val="24"/>
          <w:szCs w:val="24"/>
        </w:rPr>
        <w:fldChar w:fldCharType="end"/>
      </w:r>
      <w:r w:rsidRPr="009B58E8">
        <w:rPr>
          <w:rFonts w:ascii="Times New Roman" w:hAnsi="Times New Roman" w:cs="Times New Roman"/>
          <w:sz w:val="24"/>
          <w:szCs w:val="24"/>
        </w:rPr>
        <w:t xml:space="preserve">. </w:t>
      </w:r>
      <w:r w:rsidRPr="009B58E8">
        <w:rPr>
          <w:rFonts w:ascii="Times New Roman" w:hAnsi="Times New Roman" w:cs="Times New Roman"/>
          <w:sz w:val="24"/>
          <w:szCs w:val="24"/>
        </w:rPr>
        <w:fldChar w:fldCharType="begin" w:fldLock="1"/>
      </w:r>
      <w:r w:rsidRPr="009B58E8">
        <w:rPr>
          <w:rFonts w:ascii="Times New Roman" w:hAnsi="Times New Roman" w:cs="Times New Roman"/>
          <w:sz w:val="24"/>
          <w:szCs w:val="24"/>
        </w:rPr>
        <w:instrText>ADDIN CSL_CITATION {"citationItems":[{"id":"ITEM-1","itemData":{"URL":"https://sdppi.kominfo.go.id/berita-iot-creation-2022-dorong-percepatan-implementasi-internet-of-things-di-indo-27-5530","author":[{"dropping-particle":"","family":"Ministry of Communications and Informatics","given":"","non-dropping-particle":"","parse-names":false,"suffix":""}],"id":"ITEM-1","issued":{"date-parts":[["2022"]]},"title":"IoT Creation 2022 Dorong Percepatan Implementasi Internet of Things di Indonesia","type":"webpage"},"uris":["http://www.mendeley.com/documents/?uuid=8e2e4113-00c9-4d0a-9d18-4978ae577a05"]}],"mendeley":{"formattedCitation":"(Ministry of Communications and Informatics, 2022)","manualFormatting":"Ministry of Communications and Informatics ","plainTextFormattedCitation":"(Ministry of Communications and Informatics, 2022)","previouslyFormattedCitation":"(Ministry of Communications and Informatics, 2022)"},"properties":{"noteIndex":0},"schema":"https://github.com/citation-style-language/schema/raw/master/csl-citation.json"}</w:instrText>
      </w:r>
      <w:r w:rsidRPr="009B58E8">
        <w:rPr>
          <w:rFonts w:ascii="Times New Roman" w:hAnsi="Times New Roman" w:cs="Times New Roman"/>
          <w:sz w:val="24"/>
          <w:szCs w:val="24"/>
        </w:rPr>
        <w:fldChar w:fldCharType="separate"/>
      </w:r>
      <w:r w:rsidRPr="009B58E8">
        <w:rPr>
          <w:rFonts w:ascii="Times New Roman" w:hAnsi="Times New Roman" w:cs="Times New Roman"/>
          <w:noProof/>
          <w:sz w:val="24"/>
          <w:szCs w:val="24"/>
        </w:rPr>
        <w:t xml:space="preserve">Ministry of Communications and Informatics </w:t>
      </w:r>
      <w:r w:rsidRPr="009B58E8">
        <w:rPr>
          <w:rFonts w:ascii="Times New Roman" w:hAnsi="Times New Roman" w:cs="Times New Roman"/>
          <w:sz w:val="24"/>
          <w:szCs w:val="24"/>
        </w:rPr>
        <w:fldChar w:fldCharType="end"/>
      </w:r>
      <w:r w:rsidRPr="009B58E8">
        <w:rPr>
          <w:sz w:val="24"/>
          <w:szCs w:val="24"/>
        </w:rPr>
        <w:t xml:space="preserve"> </w:t>
      </w:r>
      <w:r w:rsidRPr="009B58E8">
        <w:rPr>
          <w:rFonts w:ascii="Times New Roman" w:hAnsi="Times New Roman" w:cs="Times New Roman"/>
          <w:sz w:val="24"/>
          <w:szCs w:val="24"/>
        </w:rPr>
        <w:t>in 2025 also predicted rapid growth in the adoption of IoT technology, with an annual growth trend exceeding 15% CAGR up to. Indirectly, this growth makes companies offer many IoT-based products. Several companies in the manufacturing, smart city, smart home, and logistics sectors are utilizing IoT as their flagship product.</w:t>
      </w:r>
    </w:p>
    <w:p w14:paraId="13E90FA0" w14:textId="77777777" w:rsidR="009B58E8" w:rsidRDefault="009B58E8" w:rsidP="009B58E8">
      <w:pPr>
        <w:spacing w:before="120" w:after="120" w:line="240" w:lineRule="auto"/>
        <w:jc w:val="both"/>
        <w:rPr>
          <w:rFonts w:ascii="Times New Roman" w:eastAsia="Times New Roman" w:hAnsi="Times New Roman" w:cs="Times New Roman"/>
          <w:sz w:val="24"/>
          <w:szCs w:val="24"/>
          <w:shd w:val="clear" w:color="auto" w:fill="FFFFFF"/>
          <w:lang w:val="id-ID"/>
        </w:rPr>
      </w:pPr>
      <w:r w:rsidRPr="009B58E8">
        <w:rPr>
          <w:rFonts w:ascii="Times New Roman" w:hAnsi="Times New Roman" w:cs="Times New Roman"/>
          <w:sz w:val="24"/>
          <w:szCs w:val="24"/>
        </w:rPr>
        <w:t xml:space="preserve">Telkom Indonesia, with the advantage of technology-based products, is developing IoT services as part of digital platforms and digital services. In 2021, Telkom Indonesia’s revenue was dominated by non-digital legacy business (66%), while the digital sector only contributed 34%, showing a potential gap. The contribution of the digital sector consists of 18% from </w:t>
      </w:r>
      <w:r w:rsidRPr="009B58E8">
        <w:rPr>
          <w:rFonts w:ascii="Times New Roman" w:hAnsi="Times New Roman" w:cs="Times New Roman"/>
          <w:sz w:val="24"/>
          <w:szCs w:val="24"/>
        </w:rPr>
        <w:lastRenderedPageBreak/>
        <w:t>digital services and 16% from digital platforms. Although the IoT business in Indonesia is estimated to reach IDR 444 trillion by 2022, Telkom only controls 0.70%, showing a huge opportunity that has not been optimized. Another problem experienced by Telkom Indonesia is also related to the low revenue margin in the IoT business, which is due to the large capital investment in the provision of devices, which covers ± 60% of the total investment. Telkom Indonesia ultimately partners with quality device providers to fulfill the needs of the value chain. Despite targeting the business-to-business (B2B) segment to support all sectors with IoT product development, the demand for IoT solutions is still low due to the large initial investment. This shows that despite the opportunity, the IoT business faces the challenge of low profitability.</w:t>
      </w:r>
      <w:r w:rsidRPr="009B58E8">
        <w:rPr>
          <w:rFonts w:ascii="Times New Roman" w:eastAsia="Times New Roman" w:hAnsi="Times New Roman" w:cs="Times New Roman"/>
          <w:color w:val="000000"/>
          <w:sz w:val="24"/>
          <w:szCs w:val="24"/>
        </w:rPr>
        <w:t xml:space="preserve"> </w:t>
      </w:r>
      <w:r w:rsidRPr="009B58E8">
        <w:rPr>
          <w:rFonts w:ascii="Times New Roman" w:hAnsi="Times New Roman" w:cs="Times New Roman"/>
          <w:sz w:val="24"/>
          <w:szCs w:val="24"/>
        </w:rPr>
        <w:t>Telkom Indonesia is currently focusing on developing the IoT business in the transport sector. It is undeniable that the IoT business in the transportation sector has many competitors, thus creating intense competition. The need for Telkom Indonesia to use the right and mature business ecosystem approach is one of the urgent needs to maximize the potential of the digital sector, especially in facing the challenges of low margins and taking advantage of the huge opportunities in the IoT market.</w:t>
      </w:r>
    </w:p>
    <w:p w14:paraId="157A6383" w14:textId="77777777" w:rsidR="009B58E8" w:rsidRDefault="009B58E8" w:rsidP="009B58E8">
      <w:pPr>
        <w:spacing w:before="120" w:after="120" w:line="240" w:lineRule="auto"/>
        <w:jc w:val="both"/>
        <w:rPr>
          <w:rFonts w:ascii="Times New Roman" w:eastAsia="Times New Roman" w:hAnsi="Times New Roman" w:cs="Times New Roman"/>
          <w:sz w:val="24"/>
          <w:szCs w:val="24"/>
          <w:shd w:val="clear" w:color="auto" w:fill="FFFFFF"/>
          <w:lang w:val="id-ID"/>
        </w:rPr>
      </w:pPr>
      <w:r w:rsidRPr="009B58E8">
        <w:rPr>
          <w:rFonts w:ascii="Times New Roman" w:hAnsi="Times New Roman" w:cs="Times New Roman"/>
          <w:sz w:val="24"/>
          <w:szCs w:val="24"/>
        </w:rPr>
        <w:t xml:space="preserve">Business ecosystems enable collaboration between companies across industries and engage customers as value co-creators, moving the focus from the enterprise to the network. IoT business success depends on the readiness and maturity of the ecosystem </w:t>
      </w:r>
      <w:r w:rsidRPr="009B58E8">
        <w:rPr>
          <w:rFonts w:ascii="Times New Roman" w:hAnsi="Times New Roman" w:cs="Times New Roman"/>
          <w:sz w:val="24"/>
          <w:szCs w:val="24"/>
        </w:rPr>
        <w:fldChar w:fldCharType="begin" w:fldLock="1"/>
      </w:r>
      <w:r w:rsidRPr="009B58E8">
        <w:rPr>
          <w:rFonts w:ascii="Times New Roman" w:hAnsi="Times New Roman" w:cs="Times New Roman"/>
          <w:sz w:val="24"/>
          <w:szCs w:val="24"/>
        </w:rPr>
        <w:instrText>ADDIN CSL_CITATION {"citationItems":[{"id":"ITEM-1","itemData":{"DOI":"10.1002/9781119173601.ch45","ISBN":"9781119173601","abstract":"Almost all businesses are aware of the potential gains that the Internet of Things (IoT) has to offer, but are unsure of how to approach it. This article proposes a business model that builds on Turber et al., (2014) [1]. The model consists of three dimensions: \"Who, Where, and Why\". \"Who\" describes collaborating partners, which builds the \"Value Network\". \"Where\" describes sources of value co-creation rooted in the layer model of digitized objects, and \"Why\" describes how partners benefit from collaborating within the value network. With the intention of addressing \"How\", the proposed framework has integrated the IoT strategy category, tactics, and value chain elements. The framework was then validated through the case studies of some successful players of Hong Kong.","author":[{"dropping-particle":"","family":"Chan","given":"Hubert C.Y.","non-dropping-particle":"","parse-names":false,"suffix":""}],"container-title":"Journal of Service Science and Management","id":"ITEM-1","issued":{"date-parts":[["2015"]]},"page":"552-568","title":"Internet of things business models","type":"article-journal","volume":"9"},"uris":["http://www.mendeley.com/documents/?uuid=8a0fc517-53df-48ee-97e9-9ec10fb7788d"]}],"mendeley":{"formattedCitation":"(Chan, 2015)","plainTextFormattedCitation":"(Chan, 2015)","previouslyFormattedCitation":"(Chan, 2015)"},"properties":{"noteIndex":0},"schema":"https://github.com/citation-style-language/schema/raw/master/csl-citation.json"}</w:instrText>
      </w:r>
      <w:r w:rsidRPr="009B58E8">
        <w:rPr>
          <w:rFonts w:ascii="Times New Roman" w:hAnsi="Times New Roman" w:cs="Times New Roman"/>
          <w:sz w:val="24"/>
          <w:szCs w:val="24"/>
        </w:rPr>
        <w:fldChar w:fldCharType="separate"/>
      </w:r>
      <w:r w:rsidRPr="009B58E8">
        <w:rPr>
          <w:rFonts w:ascii="Times New Roman" w:hAnsi="Times New Roman" w:cs="Times New Roman"/>
          <w:noProof/>
          <w:sz w:val="24"/>
          <w:szCs w:val="24"/>
        </w:rPr>
        <w:t>(Chan, 2015)</w:t>
      </w:r>
      <w:r w:rsidRPr="009B58E8">
        <w:rPr>
          <w:rFonts w:ascii="Times New Roman" w:hAnsi="Times New Roman" w:cs="Times New Roman"/>
          <w:sz w:val="24"/>
          <w:szCs w:val="24"/>
        </w:rPr>
        <w:fldChar w:fldCharType="end"/>
      </w:r>
      <w:r w:rsidRPr="009B58E8">
        <w:rPr>
          <w:rFonts w:ascii="Times New Roman" w:hAnsi="Times New Roman" w:cs="Times New Roman"/>
          <w:sz w:val="24"/>
          <w:szCs w:val="24"/>
        </w:rPr>
        <w:t xml:space="preserve">. </w:t>
      </w:r>
      <w:r w:rsidRPr="009B58E8">
        <w:rPr>
          <w:rFonts w:ascii="Times New Roman" w:eastAsia="Times New Roman" w:hAnsi="Times New Roman" w:cs="Times New Roman"/>
          <w:color w:val="000000"/>
          <w:sz w:val="24"/>
          <w:szCs w:val="24"/>
        </w:rPr>
        <w:t>Research by</w:t>
      </w:r>
      <w:r w:rsidRPr="009B58E8">
        <w:rPr>
          <w:rFonts w:ascii="Times New Roman" w:hAnsi="Times New Roman" w:cs="Times New Roman"/>
          <w:sz w:val="24"/>
          <w:szCs w:val="24"/>
        </w:rPr>
        <w:t xml:space="preserve"> </w:t>
      </w:r>
      <w:r w:rsidRPr="009B58E8">
        <w:rPr>
          <w:rFonts w:ascii="Times New Roman" w:hAnsi="Times New Roman" w:cs="Times New Roman"/>
          <w:sz w:val="24"/>
          <w:szCs w:val="24"/>
        </w:rPr>
        <w:fldChar w:fldCharType="begin" w:fldLock="1"/>
      </w:r>
      <w:r w:rsidRPr="009B58E8">
        <w:rPr>
          <w:rFonts w:ascii="Times New Roman" w:hAnsi="Times New Roman" w:cs="Times New Roman"/>
          <w:sz w:val="24"/>
          <w:szCs w:val="24"/>
        </w:rPr>
        <w:instrText>ADDIN CSL_CITATION {"citationItems":[{"id":"ITEM-1","itemData":{"DOI":"10.1108/EEMCS-06-2018-0131","ISSN":"20450621","abstract":"Learning outcomes: Through this case, students will not only learn about the latest development of this emerging industry, IoT, but also gain a systematic understanding of “ecosystem strategy” and get to know a new corporate growth model called “co-creation”. Case overview/synopsis: This case describes why and how Advantech Co., Ltd. (hereinafter referred to as Advantech) has transformed in the age of the Internet of Things. Aware of the ecosystem attributes of the IoT industry and committed to the company’s principle of “altruism”, Advantech strategically positioned itself as an “IoT platform provider” and an “enabler” for IoT applications. After carrying out a reform in terms of internal management, external cooperation, and development model, Advantech has evolved from an industrial computer maker to an IoT solution provider. Since the launch of the “co-creation model” at the end of 2016, Advantech has drawn attention from many excellent companies in traditional industries. With the Internet of Everything close at hand, Chairman KC Liu is well aware there are many challenges to overcome as Advantech strives to build an industrial IoT ecosystem, the “evolution” continues. Complexity academic level: MBAs, EMBAs and senior executives. Supplementary materials: Teaching Notes are available for educators only. Please contact your library to gain login details or email support@emeraldinsight.com to request teaching notes. Subject code: CSS 11: Strategy","author":[{"dropping-particle":"","family":"Bai","given":"Guo (Ginkgo)","non-dropping-particle":"","parse-names":false,"suffix":""},{"dropping-particle":"","family":"Zhao","given":"Liman","non-dropping-particle":"","parse-names":false,"suffix":""},{"dropping-particle":"","family":"Wang","given":"Zhenrong Edison","non-dropping-particle":"","parse-names":false,"suffix":""}],"container-title":"Emerald Emerging Markets Case Studies","id":"ITEM-1","issue":"4","issued":{"date-parts":[["2018"]]},"page":"1-28","title":"Advantech: evolution of its IoT ecosystem strategy","type":"article-journal","volume":"8"},"uris":["http://www.mendeley.com/documents/?uuid=f57c86c9-576e-486c-88e5-c7b5f32c0566"]}],"mendeley":{"formattedCitation":"(Bai et al., 2018)","manualFormatting":"Bai et al., (2018)","plainTextFormattedCitation":"(Bai et al., 2018)","previouslyFormattedCitation":"(Bai et al., 2018)"},"properties":{"noteIndex":0},"schema":"https://github.com/citation-style-language/schema/raw/master/csl-citation.json"}</w:instrText>
      </w:r>
      <w:r w:rsidRPr="009B58E8">
        <w:rPr>
          <w:rFonts w:ascii="Times New Roman" w:hAnsi="Times New Roman" w:cs="Times New Roman"/>
          <w:sz w:val="24"/>
          <w:szCs w:val="24"/>
        </w:rPr>
        <w:fldChar w:fldCharType="separate"/>
      </w:r>
      <w:r w:rsidRPr="009B58E8">
        <w:rPr>
          <w:rFonts w:ascii="Times New Roman" w:hAnsi="Times New Roman" w:cs="Times New Roman"/>
          <w:noProof/>
          <w:sz w:val="24"/>
          <w:szCs w:val="24"/>
        </w:rPr>
        <w:t>Bai et al., (2018)</w:t>
      </w:r>
      <w:r w:rsidRPr="009B58E8">
        <w:rPr>
          <w:rFonts w:ascii="Times New Roman" w:hAnsi="Times New Roman" w:cs="Times New Roman"/>
          <w:sz w:val="24"/>
          <w:szCs w:val="24"/>
        </w:rPr>
        <w:fldChar w:fldCharType="end"/>
      </w:r>
      <w:r w:rsidRPr="009B58E8">
        <w:rPr>
          <w:rFonts w:ascii="Times New Roman" w:hAnsi="Times New Roman" w:cs="Times New Roman"/>
          <w:sz w:val="24"/>
          <w:szCs w:val="24"/>
        </w:rPr>
        <w:t xml:space="preserve"> </w:t>
      </w:r>
      <w:r w:rsidRPr="009B58E8">
        <w:rPr>
          <w:rFonts w:ascii="Times New Roman" w:eastAsia="Times New Roman" w:hAnsi="Times New Roman" w:cs="Times New Roman"/>
          <w:color w:val="000000"/>
          <w:sz w:val="24"/>
          <w:szCs w:val="24"/>
        </w:rPr>
        <w:t xml:space="preserve">states that IoT itself represents a complex ecosystem, which involves interactions between various devices and technologies in the IoT technology landscape. This characteristic shows the importance of understanding the IoT business ecosystem in a broader context, including its relationship with various elements in related industries. Meanwhile, </w:t>
      </w:r>
      <w:r w:rsidRPr="009B58E8">
        <w:rPr>
          <w:rFonts w:ascii="Times New Roman" w:hAnsi="Times New Roman" w:cs="Times New Roman"/>
          <w:sz w:val="24"/>
          <w:szCs w:val="24"/>
        </w:rPr>
        <w:fldChar w:fldCharType="begin" w:fldLock="1"/>
      </w:r>
      <w:r w:rsidRPr="009B58E8">
        <w:rPr>
          <w:rFonts w:ascii="Times New Roman" w:hAnsi="Times New Roman" w:cs="Times New Roman"/>
          <w:sz w:val="24"/>
          <w:szCs w:val="24"/>
        </w:rPr>
        <w:instrText>ADDIN CSL_CITATION {"citationItems":[{"id":"ITEM-1","itemData":{"DOI":"10.1016/j.ijpe.2014.09.003","ISSN":"09255273","abstract":"With fast development and application, the Internet of Things (IoT) brings more opportunities to business. This research aims to investigate how IoT could lead to a co-evolving business ecosystem rather than a supply chain. It develops the 6C framework to analyze the data collected from case companies, and identifies three patterns of IoT-based business ecosystem. It also provides a summary of practical implications to guide practitioners building an IoT-based business ecosystem.","author":[{"dropping-particle":"","family":"Rong","given":"Ke","non-dropping-particle":"","parse-names":false,"suffix":""},{"dropping-particle":"","family":"Hu","given":"Guangyu","non-dropping-particle":"","parse-names":false,"suffix":""},{"dropping-particle":"","family":"Lin","given":"Yong","non-dropping-particle":"","parse-names":false,"suffix":""},{"dropping-particle":"","family":"Shi","given":"Yongjiang","non-dropping-particle":"","parse-names":false,"suffix":""},{"dropping-particle":"","family":"Guo","given":"Liang","non-dropping-particle":"","parse-names":false,"suffix":""}],"container-title":"International Journal of Production Economics","id":"ITEM-1","issue":"2014","issued":{"date-parts":[["2015"]]},"page":"41-55","publisher":"Elsevier","title":"Understanding business ecosystem using a 6C framework in Internet-of-Things-based sectors","type":"article-journal","volume":"159"},"uris":["http://www.mendeley.com/documents/?uuid=7f09fb87-2412-4ab6-b1f6-14427dc62c8a"]}],"mendeley":{"formattedCitation":"(Rong et al., 2015)","manualFormatting":"Rong et al., (2015)","plainTextFormattedCitation":"(Rong et al., 2015)","previouslyFormattedCitation":"(Rong et al., 2015)"},"properties":{"noteIndex":0},"schema":"https://github.com/citation-style-language/schema/raw/master/csl-citation.json"}</w:instrText>
      </w:r>
      <w:r w:rsidRPr="009B58E8">
        <w:rPr>
          <w:rFonts w:ascii="Times New Roman" w:hAnsi="Times New Roman" w:cs="Times New Roman"/>
          <w:sz w:val="24"/>
          <w:szCs w:val="24"/>
        </w:rPr>
        <w:fldChar w:fldCharType="separate"/>
      </w:r>
      <w:r w:rsidRPr="009B58E8">
        <w:rPr>
          <w:rFonts w:ascii="Times New Roman" w:hAnsi="Times New Roman" w:cs="Times New Roman"/>
          <w:noProof/>
          <w:sz w:val="24"/>
          <w:szCs w:val="24"/>
        </w:rPr>
        <w:t>Rong et al., (2015)</w:t>
      </w:r>
      <w:r w:rsidRPr="009B58E8">
        <w:rPr>
          <w:rFonts w:ascii="Times New Roman" w:hAnsi="Times New Roman" w:cs="Times New Roman"/>
          <w:sz w:val="24"/>
          <w:szCs w:val="24"/>
        </w:rPr>
        <w:fldChar w:fldCharType="end"/>
      </w:r>
      <w:r w:rsidRPr="009B58E8">
        <w:rPr>
          <w:rFonts w:ascii="Times New Roman" w:hAnsi="Times New Roman" w:cs="Times New Roman"/>
          <w:sz w:val="24"/>
          <w:szCs w:val="24"/>
        </w:rPr>
        <w:t xml:space="preserve"> also revealed that the IoT-based business ecosystem is more than just a supply chain with connected goods. By using the 6C framework (context, cooperation, construct, configuration, capability, and change), patterns of IoT-based business ecosystems can be identified and offer practical implications for designing future business ecosystems. The implementation of this business ecosystem makes Telkom Indonesia need to formulate and highlight its Unique Value Proposition (UVP) carefully to differentiate itself and gain a competitive advantage in the transportation industry IoT business market. </w:t>
      </w:r>
      <w:r w:rsidRPr="009B58E8">
        <w:rPr>
          <w:rFonts w:ascii="Times New Roman" w:hAnsi="Times New Roman" w:cs="Times New Roman"/>
          <w:sz w:val="24"/>
          <w:szCs w:val="24"/>
        </w:rPr>
        <w:fldChar w:fldCharType="begin" w:fldLock="1"/>
      </w:r>
      <w:r w:rsidRPr="009B58E8">
        <w:rPr>
          <w:rFonts w:ascii="Times New Roman" w:hAnsi="Times New Roman" w:cs="Times New Roman"/>
          <w:sz w:val="24"/>
          <w:szCs w:val="24"/>
        </w:rPr>
        <w:instrText>ADDIN CSL_CITATION {"citationItems":[{"id":"ITEM-1","itemData":{"DOI":"10.1186/s42162-021-00142-y","ISSN":"25208942","abstract":"Due to the complexity of business ecosystems, the architecture of business ecosystems has not been well discussed in the literature, and modeling or simulation of business ecosystems has been rarely focused. Therefore, this paper proposes a business ecosystem ontology and introduces a methodology for business ecosystem architecture design. The proposed methodology includes five stages: 1) Boundary identification of a business ecosystem; 2) Identification of actors and their roles in the business ecosystem; 3) Identification of actors’ value propositions; 4) Identification of interaction between actors; 5) Verification of business ecosystem architecture design. This paper uses the Danish electricity system as an example to introduce the methodology, and use Electric Vehicle home charging as a case study to demonstrate the application of the developed methodology. The case study demonstrates that the proposed methodology is a systematic approach and can be easily applied to any ecosystem architecture design with the five stages, and the designed ecosystem architecture can represent the physical system and business. Several definitions are clarified in the paper, e.g., actor, role, interaction, ecosystem roadmap and expanded/shifted ecosystem, etc. With clear definitions, the proposed methodology provides a visualized, clear structure of behaviors and specifications for a given business ecosystem.","author":[{"dropping-particle":"","family":"Ma","given":"Zheng","non-dropping-particle":"","parse-names":false,"suffix":""},{"dropping-particle":"","family":"Christensen","given":"Kristoffer","non-dropping-particle":"","parse-names":false,"suffix":""},{"dropping-particle":"","family":"Jørgensen","given":"Bo Nørregaard","non-dropping-particle":"","parse-names":false,"suffix":""}],"container-title":"Energy Informatics","id":"ITEM-1","issue":"9","issued":{"date-parts":[["2021"]]},"page":"1-38","publisher":"Energy Informatics","title":"Business ecosystem architecture development: a case study of Electric Vehicle home charging","type":"article-journal","volume":"4"},"uris":["http://www.mendeley.com/documents/?uuid=3d5bf33f-5ae6-4125-9f3a-0f080d47edca"]}],"mendeley":{"formattedCitation":"(Ma et al., 2021)","manualFormatting":"Ma et al., (2021)","plainTextFormattedCitation":"(Ma et al., 2021)","previouslyFormattedCitation":"(Ma et al., 2021)"},"properties":{"noteIndex":0},"schema":"https://github.com/citation-style-language/schema/raw/master/csl-citation.json"}</w:instrText>
      </w:r>
      <w:r w:rsidRPr="009B58E8">
        <w:rPr>
          <w:rFonts w:ascii="Times New Roman" w:hAnsi="Times New Roman" w:cs="Times New Roman"/>
          <w:sz w:val="24"/>
          <w:szCs w:val="24"/>
        </w:rPr>
        <w:fldChar w:fldCharType="separate"/>
      </w:r>
      <w:r w:rsidRPr="009B58E8">
        <w:rPr>
          <w:rFonts w:ascii="Times New Roman" w:hAnsi="Times New Roman" w:cs="Times New Roman"/>
          <w:noProof/>
          <w:sz w:val="24"/>
          <w:szCs w:val="24"/>
        </w:rPr>
        <w:t>Ma et al., (2021)</w:t>
      </w:r>
      <w:r w:rsidRPr="009B58E8">
        <w:rPr>
          <w:rFonts w:ascii="Times New Roman" w:hAnsi="Times New Roman" w:cs="Times New Roman"/>
          <w:sz w:val="24"/>
          <w:szCs w:val="24"/>
        </w:rPr>
        <w:fldChar w:fldCharType="end"/>
      </w:r>
      <w:r w:rsidRPr="009B58E8">
        <w:rPr>
          <w:rFonts w:ascii="Times New Roman" w:hAnsi="Times New Roman" w:cs="Times New Roman"/>
          <w:sz w:val="24"/>
          <w:szCs w:val="24"/>
        </w:rPr>
        <w:t xml:space="preserve"> revealed that business ecosystem modeling can be done by focusing on core elements, actors or roles, and interactions to create shared value. </w:t>
      </w:r>
      <w:r w:rsidRPr="009B58E8">
        <w:rPr>
          <w:rFonts w:ascii="Times New Roman" w:hAnsi="Times New Roman" w:cs="Times New Roman"/>
          <w:sz w:val="24"/>
          <w:szCs w:val="24"/>
        </w:rPr>
        <w:fldChar w:fldCharType="begin" w:fldLock="1"/>
      </w:r>
      <w:r w:rsidRPr="009B58E8">
        <w:rPr>
          <w:rFonts w:ascii="Times New Roman" w:hAnsi="Times New Roman" w:cs="Times New Roman"/>
          <w:sz w:val="24"/>
          <w:szCs w:val="24"/>
        </w:rPr>
        <w:instrText>ADDIN CSL_CITATION {"citationItems":[{"id":"ITEM-1","itemData":{"ISSN":"22318534","abstract":"The purpose of this study is to identify the parties involved in Binong Jati Knitting Industrial Centre (BJKIC) ecosystem. An ecosystem here refers to reciprocal and mutual relationship among connected parties. This study uses a transaction approach in mapping roles and parties involved in BJKIC ecosystem. It uses a qualitative method with the case study as its type of research. The result of this study shows a weakness of some parties in BJKIC. It brings about the decrease in terms of the number of knitting businessmen in BJKIC and consumer buying interest towards BJKIC knitting products. There has to be an evaluation and strategic planning for the future. It can be done by brainstorming with all parties in BJKIC ecosystem and doing a further examination so it becomes a healthy ecosystem.","author":[{"dropping-particle":"","family":"Tricahyono","given":"Dodie","non-dropping-particle":"","parse-names":false,"suffix":""},{"dropping-particle":"","family":"Purnamasari","given":"Siti Rodliyah","non-dropping-particle":"","parse-names":false,"suffix":""}],"container-title":"Pertanika Journal of Social Sciences and Humanities","id":"ITEM-1","issued":{"date-parts":[["2018"]]},"page":"113-118","title":"Business ecosystem of SMEs with value network analysis approach: A case study at Binong Jati Knitting Industrial Centre (BJKIC) Bandung","type":"article-journal","volume":"26"},"uris":["http://www.mendeley.com/documents/?uuid=a49d0a61-a02a-4a39-8bc0-2fb97d15b623"]}],"mendeley":{"formattedCitation":"(Tricahyono &amp; Purnamasari, 2018)","manualFormatting":"Tricahyono &amp; Purnamasari (2018)","plainTextFormattedCitation":"(Tricahyono &amp; Purnamasari, 2018)","previouslyFormattedCitation":"(Tricahyono &amp; Purnamasari, 2018)"},"properties":{"noteIndex":0},"schema":"https://github.com/citation-style-language/schema/raw/master/csl-citation.json"}</w:instrText>
      </w:r>
      <w:r w:rsidRPr="009B58E8">
        <w:rPr>
          <w:rFonts w:ascii="Times New Roman" w:hAnsi="Times New Roman" w:cs="Times New Roman"/>
          <w:sz w:val="24"/>
          <w:szCs w:val="24"/>
        </w:rPr>
        <w:fldChar w:fldCharType="separate"/>
      </w:r>
      <w:r w:rsidRPr="009B58E8">
        <w:rPr>
          <w:rFonts w:ascii="Times New Roman" w:hAnsi="Times New Roman" w:cs="Times New Roman"/>
          <w:noProof/>
          <w:sz w:val="24"/>
          <w:szCs w:val="24"/>
        </w:rPr>
        <w:t>Tricahyono &amp; Purnamasari (2018)</w:t>
      </w:r>
      <w:r w:rsidRPr="009B58E8">
        <w:rPr>
          <w:rFonts w:ascii="Times New Roman" w:hAnsi="Times New Roman" w:cs="Times New Roman"/>
          <w:sz w:val="24"/>
          <w:szCs w:val="24"/>
        </w:rPr>
        <w:fldChar w:fldCharType="end"/>
      </w:r>
      <w:r w:rsidRPr="009B58E8">
        <w:rPr>
          <w:rFonts w:ascii="Times New Roman" w:hAnsi="Times New Roman" w:cs="Times New Roman"/>
          <w:sz w:val="24"/>
          <w:szCs w:val="24"/>
        </w:rPr>
        <w:t xml:space="preserve"> also revealed that the role of various actors in the business ecosystem needs to see the role and relationship of each actor. Future evaluation and strategic planning are very important, involving all actors to create a healthy and sustainable business ecosystem. In the problem of IoT development in the transportation sector at Telkom Indonesia, it has not explicitly utilized structured business ecosystem modeling and involved the roles and relationships of all actors optimally.</w:t>
      </w:r>
    </w:p>
    <w:p w14:paraId="67659DA0" w14:textId="794DDB55" w:rsidR="0076257F" w:rsidRDefault="009B58E8" w:rsidP="009B58E8">
      <w:pPr>
        <w:spacing w:before="120" w:after="120" w:line="240" w:lineRule="auto"/>
        <w:jc w:val="both"/>
        <w:rPr>
          <w:rFonts w:ascii="Times New Roman" w:hAnsi="Times New Roman" w:cs="Times New Roman"/>
          <w:sz w:val="24"/>
          <w:szCs w:val="24"/>
        </w:rPr>
      </w:pPr>
      <w:r w:rsidRPr="009B58E8">
        <w:rPr>
          <w:rFonts w:ascii="Times New Roman" w:hAnsi="Times New Roman" w:cs="Times New Roman"/>
          <w:sz w:val="24"/>
          <w:szCs w:val="24"/>
        </w:rPr>
        <w:t xml:space="preserve">The absence of business ecosystem architecture modeling by Telkom Indonesia is one of the </w:t>
      </w:r>
      <w:proofErr w:type="gramStart"/>
      <w:r w:rsidRPr="009B58E8">
        <w:rPr>
          <w:rFonts w:ascii="Times New Roman" w:hAnsi="Times New Roman" w:cs="Times New Roman"/>
          <w:sz w:val="24"/>
          <w:szCs w:val="24"/>
        </w:rPr>
        <w:t>state</w:t>
      </w:r>
      <w:proofErr w:type="gramEnd"/>
      <w:r w:rsidRPr="009B58E8">
        <w:rPr>
          <w:rFonts w:ascii="Times New Roman" w:hAnsi="Times New Roman" w:cs="Times New Roman"/>
          <w:sz w:val="24"/>
          <w:szCs w:val="24"/>
        </w:rPr>
        <w:t xml:space="preserve"> of the art in this research. Not many studies have examined aspects of business ecosystem architecture that focus on core elements, actors, roles, and interactions to create shared value in product development, so this is one of the potential important contributions of this research. This research will fill the gap in the literature by exploring comprehensive business ecosystem modeling, which can be a reference in IoT-based product development strategies. Thus, this research uses a business ecosystem architecture design approach to be able to develop relevant innovations, strengthen the relationship of each actor in the ecosystem, and ensure the suitability of the business model to customer and market needs for long-term growth and success.  </w:t>
      </w:r>
    </w:p>
    <w:p w14:paraId="633C13E4" w14:textId="77777777" w:rsidR="004B75FF" w:rsidRDefault="004B75FF" w:rsidP="009B58E8">
      <w:pPr>
        <w:spacing w:before="120" w:after="120" w:line="240" w:lineRule="auto"/>
        <w:jc w:val="both"/>
        <w:rPr>
          <w:rFonts w:ascii="Times New Roman" w:hAnsi="Times New Roman" w:cs="Times New Roman"/>
          <w:sz w:val="24"/>
          <w:szCs w:val="24"/>
        </w:rPr>
      </w:pPr>
    </w:p>
    <w:p w14:paraId="2770C796" w14:textId="49243A1C" w:rsidR="009B58E8" w:rsidRDefault="009B58E8" w:rsidP="009B58E8">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Literature Review</w:t>
      </w:r>
    </w:p>
    <w:p w14:paraId="351502D4" w14:textId="77777777" w:rsidR="009B58E8" w:rsidRDefault="009B58E8" w:rsidP="009B58E8">
      <w:pPr>
        <w:spacing w:before="120" w:after="120" w:line="240" w:lineRule="auto"/>
        <w:jc w:val="both"/>
        <w:rPr>
          <w:rFonts w:ascii="Times New Roman" w:hAnsi="Times New Roman" w:cs="Times New Roman"/>
          <w:sz w:val="24"/>
          <w:szCs w:val="24"/>
        </w:rPr>
      </w:pPr>
      <w:r w:rsidRPr="009B58E8">
        <w:rPr>
          <w:rFonts w:ascii="Times New Roman" w:hAnsi="Times New Roman" w:cs="Times New Roman"/>
          <w:sz w:val="24"/>
          <w:szCs w:val="24"/>
        </w:rPr>
        <w:t xml:space="preserve">In many cases, the terms and concepts of business ecosystems and ecosystems in digital platforms are often equated. However, an academic study conducted by Helvetia Innovation Lab points out the need to make a clear distinction between technological factors and cooperation models </w:t>
      </w:r>
      <w:r w:rsidRPr="009B58E8">
        <w:rPr>
          <w:rFonts w:ascii="Times New Roman" w:hAnsi="Times New Roman" w:cs="Times New Roman"/>
          <w:sz w:val="24"/>
          <w:szCs w:val="24"/>
        </w:rPr>
        <w:fldChar w:fldCharType="begin" w:fldLock="1"/>
      </w:r>
      <w:r w:rsidRPr="009B58E8">
        <w:rPr>
          <w:rFonts w:ascii="Times New Roman" w:hAnsi="Times New Roman" w:cs="Times New Roman"/>
          <w:sz w:val="24"/>
          <w:szCs w:val="24"/>
        </w:rPr>
        <w:instrText>ADDIN CSL_CITATION {"citationItems":[{"id":"ITEM-1","itemData":{"author":[{"dropping-particle":"","family":"Lingens","given":"Bernhard","non-dropping-particle":"","parse-names":false,"suffix":""},{"dropping-particle":"","family":"Böger","given":"Maximilian","non-dropping-particle":"","parse-names":false,"suffix":""},{"dropping-particle":"","family":"Gackstatter","given":"Steffen","non-dropping-particle":"","parse-names":false,"suffix":""},{"dropping-particle":"","family":"Lemaire","given":"Axelle","non-dropping-particle":"","parse-names":false,"suffix":""}],"id":"ITEM-1","issued":{"date-parts":[["2019"]]},"publisher":"Jerman: Roland Berger Focus","title":"Business ecosystems: Partnership of equals for corporates, SMEs and startups","type":"book"},"uris":["http://www.mendeley.com/documents/?uuid=4873d70f-985a-47c2-aeb4-a519bf9e41ac"]}],"mendeley":{"formattedCitation":"(Lingens et al., 2019)","plainTextFormattedCitation":"(Lingens et al., 2019)","previouslyFormattedCitation":"(Lingens et al., 2019)"},"properties":{"noteIndex":0},"schema":"https://github.com/citation-style-language/schema/raw/master/csl-citation.json"}</w:instrText>
      </w:r>
      <w:r w:rsidRPr="009B58E8">
        <w:rPr>
          <w:rFonts w:ascii="Times New Roman" w:hAnsi="Times New Roman" w:cs="Times New Roman"/>
          <w:sz w:val="24"/>
          <w:szCs w:val="24"/>
        </w:rPr>
        <w:fldChar w:fldCharType="separate"/>
      </w:r>
      <w:r w:rsidRPr="009B58E8">
        <w:rPr>
          <w:rFonts w:ascii="Times New Roman" w:hAnsi="Times New Roman" w:cs="Times New Roman"/>
          <w:noProof/>
          <w:sz w:val="24"/>
          <w:szCs w:val="24"/>
        </w:rPr>
        <w:t>(Lingens et al., 2019)</w:t>
      </w:r>
      <w:r w:rsidRPr="009B58E8">
        <w:rPr>
          <w:rFonts w:ascii="Times New Roman" w:hAnsi="Times New Roman" w:cs="Times New Roman"/>
          <w:sz w:val="24"/>
          <w:szCs w:val="24"/>
        </w:rPr>
        <w:fldChar w:fldCharType="end"/>
      </w:r>
      <w:r w:rsidRPr="009B58E8">
        <w:rPr>
          <w:rFonts w:ascii="Times New Roman" w:hAnsi="Times New Roman" w:cs="Times New Roman"/>
          <w:sz w:val="24"/>
          <w:szCs w:val="24"/>
        </w:rPr>
        <w:t xml:space="preserve">. Technology platforms are generally used to reduce transaction costs between partners in the ecosystem. Therefore, the platform ecosystem is only a means to achieve efficiency in organizing the business ecosystem. This is the difference with platform ecosystems. The core function of the platform ecosystem is to generate network effects, and as the number of providers on the platform increases, the benefits to customers also increase. The more customers who use the platform, the more providers are attracted to join </w:t>
      </w:r>
      <w:r w:rsidRPr="009B58E8">
        <w:rPr>
          <w:rFonts w:ascii="Times New Roman" w:hAnsi="Times New Roman" w:cs="Times New Roman"/>
          <w:sz w:val="24"/>
          <w:szCs w:val="24"/>
        </w:rPr>
        <w:fldChar w:fldCharType="begin" w:fldLock="1"/>
      </w:r>
      <w:r w:rsidRPr="009B58E8">
        <w:rPr>
          <w:rFonts w:ascii="Times New Roman" w:hAnsi="Times New Roman" w:cs="Times New Roman"/>
          <w:sz w:val="24"/>
          <w:szCs w:val="24"/>
        </w:rPr>
        <w:instrText>ADDIN CSL_CITATION {"citationItems":[{"id":"ITEM-1","itemData":{"DOI":"10.1002/smj.3149","ISSN":"10970266","abstract":"Research summary: User demand affects the emergence and growth of platform ecosystems through indirect network effects. But how do these effects play out in the strategies of platform providers and complementors as the ecosystem evolves? We study how user preferences for ecosystem innovativeness (complement novelty and quality) and ecosystem size (number of complementors/complements), and demand-based economies of scale, shape the strategic interactions between the platform provider and the complementors in the ecosystem. Using an analytical model, we identify the conditions that give rise to a trade-off between ecosystem innovativeness and size; when (and why) this trade-off generates a tension between value co-creation and appropriation among ecosystem participants; and the strategic implications for ecosystem competitiveness and for the different stages of the ecosystem's evolution. Managerial summary: Managing complementors’ incentives is critical for the success of a platform ecosystem. Such incentives may be offered not only for joining the platform, but also for contributing high-quality, innovative complements throughout the ecosystem's evolution. In this article, we show that demand-side economies of scale are the driving force of complementors’ incentives, and hence the key success factor for platform strategies. The strength of user preferences ultimately determines whether a larger ecosystem can also be more innovative, in which case all ecosystem participants can gain; or if instead there is a trade-off between size and innovativeness, which could also lead to a tension between value co-creation and appropriation among the platform provider and its complementors. The different stages of the evolution of a platform ecosystem call for different strategies that adapt to the evolution of user preferences.","author":[{"dropping-particle":"","family":"Panico","given":"Claudio","non-dropping-particle":"","parse-names":false,"suffix":""},{"dropping-particle":"","family":"Cennamo","given":"Carmelo","non-dropping-particle":"","parse-names":false,"suffix":""}],"container-title":"Strategic Management Journal","id":"ITEM-1","issue":"3","issued":{"date-parts":[["2022"]]},"page":"507-529","title":"User preferences and strategic interactions in platform ecosystems","type":"article-journal","volume":"43"},"uris":["http://www.mendeley.com/documents/?uuid=b14a9477-1ac5-45b9-b1ca-912ebd0f3924"]}],"mendeley":{"formattedCitation":"(Panico &amp; Cennamo, 2022)","plainTextFormattedCitation":"(Panico &amp; Cennamo, 2022)","previouslyFormattedCitation":"(Panico &amp; Cennamo, 2022)"},"properties":{"noteIndex":0},"schema":"https://github.com/citation-style-language/schema/raw/master/csl-citation.json"}</w:instrText>
      </w:r>
      <w:r w:rsidRPr="009B58E8">
        <w:rPr>
          <w:rFonts w:ascii="Times New Roman" w:hAnsi="Times New Roman" w:cs="Times New Roman"/>
          <w:sz w:val="24"/>
          <w:szCs w:val="24"/>
        </w:rPr>
        <w:fldChar w:fldCharType="separate"/>
      </w:r>
      <w:r w:rsidRPr="009B58E8">
        <w:rPr>
          <w:rFonts w:ascii="Times New Roman" w:hAnsi="Times New Roman" w:cs="Times New Roman"/>
          <w:noProof/>
          <w:sz w:val="24"/>
          <w:szCs w:val="24"/>
        </w:rPr>
        <w:t>(Panico &amp; Cennamo, 2022)</w:t>
      </w:r>
      <w:r w:rsidRPr="009B58E8">
        <w:rPr>
          <w:rFonts w:ascii="Times New Roman" w:hAnsi="Times New Roman" w:cs="Times New Roman"/>
          <w:sz w:val="24"/>
          <w:szCs w:val="24"/>
        </w:rPr>
        <w:fldChar w:fldCharType="end"/>
      </w:r>
      <w:r w:rsidRPr="009B58E8">
        <w:rPr>
          <w:rFonts w:ascii="Times New Roman" w:hAnsi="Times New Roman" w:cs="Times New Roman"/>
          <w:sz w:val="24"/>
          <w:szCs w:val="24"/>
        </w:rPr>
        <w:t>.</w:t>
      </w:r>
    </w:p>
    <w:p w14:paraId="5610086F" w14:textId="2800651D" w:rsidR="009B58E8" w:rsidRPr="009B58E8" w:rsidRDefault="009B58E8" w:rsidP="0076257F">
      <w:pPr>
        <w:snapToGrid w:val="0"/>
        <w:spacing w:before="120" w:after="120" w:line="240" w:lineRule="auto"/>
        <w:jc w:val="both"/>
        <w:rPr>
          <w:rFonts w:ascii="Times New Roman" w:hAnsi="Times New Roman" w:cs="Times New Roman"/>
          <w:sz w:val="24"/>
          <w:szCs w:val="24"/>
        </w:rPr>
      </w:pPr>
      <w:r w:rsidRPr="009B58E8">
        <w:rPr>
          <w:rFonts w:ascii="Times New Roman" w:hAnsi="Times New Roman" w:cs="Times New Roman"/>
          <w:sz w:val="24"/>
          <w:szCs w:val="24"/>
        </w:rPr>
        <w:t xml:space="preserve">In the beginning, business ecosystems tend to be fragmented with industrial systems that have separate roles. As it evolves, the ecosystem develops several dominant supply chains and manages to form an established industrial system, creating value for all stakeholders at the maturity stage </w:t>
      </w:r>
      <w:r w:rsidRPr="009B58E8">
        <w:rPr>
          <w:rFonts w:ascii="Times New Roman" w:hAnsi="Times New Roman" w:cs="Times New Roman"/>
          <w:sz w:val="24"/>
          <w:szCs w:val="24"/>
        </w:rPr>
        <w:fldChar w:fldCharType="begin" w:fldLock="1"/>
      </w:r>
      <w:r w:rsidRPr="009B58E8">
        <w:rPr>
          <w:rFonts w:ascii="Times New Roman" w:hAnsi="Times New Roman" w:cs="Times New Roman"/>
          <w:sz w:val="24"/>
          <w:szCs w:val="24"/>
        </w:rPr>
        <w:instrText>ADDIN CSL_CITATION {"citationItems":[{"id":"ITEM-1","itemData":{"DOI":"10.1186/s42162-021-00142-y","ISSN":"25208942","abstract":"Due to the complexity of business ecosystems, the architecture of business ecosystems has not been well discussed in the literature, and modeling or simulation of business ecosystems has been rarely focused. Therefore, this paper proposes a business ecosystem ontology and introduces a methodology for business ecosystem architecture design. The proposed methodology includes five stages: 1) Boundary identification of a business ecosystem; 2) Identification of actors and their roles in the business ecosystem; 3) Identification of actors’ value propositions; 4) Identification of interaction between actors; 5) Verification of business ecosystem architecture design. This paper uses the Danish electricity system as an example to introduce the methodology, and use Electric Vehicle home charging as a case study to demonstrate the application of the developed methodology. The case study demonstrates that the proposed methodology is a systematic approach and can be easily applied to any ecosystem architecture design with the five stages, and the designed ecosystem architecture can represent the physical system and business. Several definitions are clarified in the paper, e.g., actor, role, interaction, ecosystem roadmap and expanded/shifted ecosystem, etc. With clear definitions, the proposed methodology provides a visualized, clear structure of behaviors and specifications for a given business ecosystem.","author":[{"dropping-particle":"","family":"Ma","given":"Zheng","non-dropping-particle":"","parse-names":false,"suffix":""},{"dropping-particle":"","family":"Christensen","given":"Kristoffer","non-dropping-particle":"","parse-names":false,"suffix":""},{"dropping-particle":"","family":"Jørgensen","given":"Bo Nørregaard","non-dropping-particle":"","parse-names":false,"suffix":""}],"container-title":"Energy Informatics","id":"ITEM-1","issue":"9","issued":{"date-parts":[["2021"]]},"page":"1-38","publisher":"Energy Informatics","title":"Business ecosystem architecture development: a case study of Electric Vehicle home charging","type":"article-journal","volume":"4"},"uris":["http://www.mendeley.com/documents/?uuid=3d5bf33f-5ae6-4125-9f3a-0f080d47edca"]}],"mendeley":{"formattedCitation":"(Ma et al., 2021)","plainTextFormattedCitation":"(Ma et al., 2021)","previouslyFormattedCitation":"(Ma et al., 2021)"},"properties":{"noteIndex":0},"schema":"https://github.com/citation-style-language/schema/raw/master/csl-citation.json"}</w:instrText>
      </w:r>
      <w:r w:rsidRPr="009B58E8">
        <w:rPr>
          <w:rFonts w:ascii="Times New Roman" w:hAnsi="Times New Roman" w:cs="Times New Roman"/>
          <w:sz w:val="24"/>
          <w:szCs w:val="24"/>
        </w:rPr>
        <w:fldChar w:fldCharType="separate"/>
      </w:r>
      <w:r w:rsidRPr="009B58E8">
        <w:rPr>
          <w:rFonts w:ascii="Times New Roman" w:hAnsi="Times New Roman" w:cs="Times New Roman"/>
          <w:noProof/>
          <w:sz w:val="24"/>
          <w:szCs w:val="24"/>
        </w:rPr>
        <w:t>(Ma et al., 2021)</w:t>
      </w:r>
      <w:r w:rsidRPr="009B58E8">
        <w:rPr>
          <w:rFonts w:ascii="Times New Roman" w:hAnsi="Times New Roman" w:cs="Times New Roman"/>
          <w:sz w:val="24"/>
          <w:szCs w:val="24"/>
        </w:rPr>
        <w:fldChar w:fldCharType="end"/>
      </w:r>
      <w:r w:rsidRPr="009B58E8">
        <w:rPr>
          <w:rFonts w:ascii="Times New Roman" w:hAnsi="Times New Roman" w:cs="Times New Roman"/>
          <w:sz w:val="24"/>
          <w:szCs w:val="24"/>
        </w:rPr>
        <w:t>. The development of a business ecosystem architecture proposes essential elements consisting of systems engineering, ecology, and business ecosystem. This process can be divided into three main parts: business ecosystem architecture development, factor analysis, and ecosystem simulation and reconfiguration (Figure 1).</w:t>
      </w:r>
    </w:p>
    <w:p w14:paraId="40205DB8" w14:textId="77777777" w:rsidR="009B58E8" w:rsidRPr="009B58E8" w:rsidRDefault="009B58E8" w:rsidP="0076257F">
      <w:pPr>
        <w:snapToGrid w:val="0"/>
        <w:spacing w:after="0" w:line="240" w:lineRule="auto"/>
        <w:jc w:val="center"/>
        <w:rPr>
          <w:rFonts w:ascii="Times New Roman" w:hAnsi="Times New Roman" w:cs="Times New Roman"/>
          <w:sz w:val="24"/>
          <w:szCs w:val="24"/>
        </w:rPr>
      </w:pPr>
      <w:r w:rsidRPr="009B58E8">
        <w:rPr>
          <w:rFonts w:ascii="Times New Roman" w:hAnsi="Times New Roman" w:cs="Times New Roman"/>
          <w:noProof/>
          <w:sz w:val="24"/>
          <w:szCs w:val="24"/>
        </w:rPr>
        <w:drawing>
          <wp:inline distT="0" distB="0" distL="0" distR="0" wp14:anchorId="71190DEE" wp14:editId="23C73A5F">
            <wp:extent cx="5803290" cy="36576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76061" cy="3703465"/>
                    </a:xfrm>
                    <a:prstGeom prst="rect">
                      <a:avLst/>
                    </a:prstGeom>
                    <a:noFill/>
                  </pic:spPr>
                </pic:pic>
              </a:graphicData>
            </a:graphic>
          </wp:inline>
        </w:drawing>
      </w:r>
    </w:p>
    <w:p w14:paraId="34B83C0D" w14:textId="77777777" w:rsidR="009B58E8" w:rsidRPr="009B58E8" w:rsidRDefault="009B58E8" w:rsidP="0076257F">
      <w:pPr>
        <w:snapToGrid w:val="0"/>
        <w:spacing w:after="0" w:line="240" w:lineRule="auto"/>
        <w:jc w:val="center"/>
        <w:rPr>
          <w:rFonts w:ascii="Times New Roman" w:hAnsi="Times New Roman" w:cs="Times New Roman"/>
          <w:sz w:val="24"/>
          <w:szCs w:val="24"/>
        </w:rPr>
      </w:pPr>
      <w:r w:rsidRPr="009B58E8">
        <w:rPr>
          <w:rFonts w:ascii="Times New Roman" w:hAnsi="Times New Roman" w:cs="Times New Roman"/>
          <w:sz w:val="24"/>
          <w:szCs w:val="24"/>
        </w:rPr>
        <w:t xml:space="preserve">Figure 1. Business Ecosystem Architecture Framework and Steps </w:t>
      </w:r>
    </w:p>
    <w:p w14:paraId="500B0EFB" w14:textId="1FD37D3F" w:rsidR="009B58E8" w:rsidRPr="001F685B" w:rsidRDefault="009B58E8" w:rsidP="001F685B">
      <w:pPr>
        <w:snapToGrid w:val="0"/>
        <w:spacing w:before="120" w:after="120" w:line="240" w:lineRule="auto"/>
        <w:ind w:firstLine="720"/>
        <w:rPr>
          <w:rFonts w:ascii="Times New Roman" w:hAnsi="Times New Roman" w:cs="Times New Roman"/>
          <w:i/>
          <w:iCs/>
          <w:sz w:val="24"/>
          <w:szCs w:val="24"/>
        </w:rPr>
      </w:pPr>
      <w:r w:rsidRPr="001F685B">
        <w:rPr>
          <w:rFonts w:ascii="Times New Roman" w:hAnsi="Times New Roman" w:cs="Times New Roman"/>
          <w:i/>
          <w:iCs/>
          <w:sz w:val="24"/>
          <w:szCs w:val="24"/>
        </w:rPr>
        <w:t xml:space="preserve">Source: </w:t>
      </w:r>
      <w:r w:rsidRPr="001F685B">
        <w:rPr>
          <w:rFonts w:ascii="Times New Roman" w:hAnsi="Times New Roman" w:cs="Times New Roman"/>
          <w:i/>
          <w:iCs/>
          <w:sz w:val="24"/>
          <w:szCs w:val="24"/>
        </w:rPr>
        <w:fldChar w:fldCharType="begin" w:fldLock="1"/>
      </w:r>
      <w:r w:rsidRPr="001F685B">
        <w:rPr>
          <w:rFonts w:ascii="Times New Roman" w:hAnsi="Times New Roman" w:cs="Times New Roman"/>
          <w:i/>
          <w:iCs/>
          <w:sz w:val="24"/>
          <w:szCs w:val="24"/>
        </w:rPr>
        <w:instrText>ADDIN CSL_CITATION {"citationItems":[{"id":"ITEM-1","itemData":{"DOI":"10.1186/s42162-021-00142-y","ISSN":"25208942","abstract":"Due to the complexity of business ecosystems, the architecture of business ecosystems has not been well discussed in the literature, and modeling or simulation of business ecosystems has been rarely focused. Therefore, this paper proposes a business ecosystem ontology and introduces a methodology for business ecosystem architecture design. The proposed methodology includes five stages: 1) Boundary identification of a business ecosystem; 2) Identification of actors and their roles in the business ecosystem; 3) Identification of actors’ value propositions; 4) Identification of interaction between actors; 5) Verification of business ecosystem architecture design. This paper uses the Danish electricity system as an example to introduce the methodology, and use Electric Vehicle home charging as a case study to demonstrate the application of the developed methodology. The case study demonstrates that the proposed methodology is a systematic approach and can be easily applied to any ecosystem architecture design with the five stages, and the designed ecosystem architecture can represent the physical system and business. Several definitions are clarified in the paper, e.g., actor, role, interaction, ecosystem roadmap and expanded/shifted ecosystem, etc. With clear definitions, the proposed methodology provides a visualized, clear structure of behaviors and specifications for a given business ecosystem.","author":[{"dropping-particle":"","family":"Ma","given":"Zheng","non-dropping-particle":"","parse-names":false,"suffix":""},{"dropping-particle":"","family":"Christensen","given":"Kristoffer","non-dropping-particle":"","parse-names":false,"suffix":""},{"dropping-particle":"","family":"Jørgensen","given":"Bo Nørregaard","non-dropping-particle":"","parse-names":false,"suffix":""}],"container-title":"Energy Informatics","id":"ITEM-1","issue":"9","issued":{"date-parts":[["2021"]]},"page":"1-38","publisher":"Energy Informatics","title":"Business ecosystem architecture development: a case study of Electric Vehicle home charging","type":"article-journal","volume":"4"},"uris":["http://www.mendeley.com/documents/?uuid=3d5bf33f-5ae6-4125-9f3a-0f080d47edca"]}],"mendeley":{"formattedCitation":"(Ma et al., 2021)","manualFormatting":"Ma et al., (2021)","plainTextFormattedCitation":"(Ma et al., 2021)","previouslyFormattedCitation":"(Ma et al., 2021)"},"properties":{"noteIndex":0},"schema":"https://github.com/citation-style-language/schema/raw/master/csl-citation.json"}</w:instrText>
      </w:r>
      <w:r w:rsidRPr="001F685B">
        <w:rPr>
          <w:rFonts w:ascii="Times New Roman" w:hAnsi="Times New Roman" w:cs="Times New Roman"/>
          <w:i/>
          <w:iCs/>
          <w:sz w:val="24"/>
          <w:szCs w:val="24"/>
        </w:rPr>
        <w:fldChar w:fldCharType="separate"/>
      </w:r>
      <w:r w:rsidRPr="001F685B">
        <w:rPr>
          <w:rFonts w:ascii="Times New Roman" w:hAnsi="Times New Roman" w:cs="Times New Roman"/>
          <w:i/>
          <w:iCs/>
          <w:noProof/>
          <w:sz w:val="24"/>
          <w:szCs w:val="24"/>
        </w:rPr>
        <w:t>Ma et al., (2021)</w:t>
      </w:r>
      <w:r w:rsidRPr="001F685B">
        <w:rPr>
          <w:rFonts w:ascii="Times New Roman" w:hAnsi="Times New Roman" w:cs="Times New Roman"/>
          <w:i/>
          <w:iCs/>
          <w:sz w:val="24"/>
          <w:szCs w:val="24"/>
        </w:rPr>
        <w:fldChar w:fldCharType="end"/>
      </w:r>
    </w:p>
    <w:p w14:paraId="4FB0CBD7" w14:textId="0F788ECA" w:rsidR="009B58E8" w:rsidRPr="001F685B" w:rsidRDefault="009B58E8" w:rsidP="001F685B">
      <w:pPr>
        <w:pBdr>
          <w:top w:val="nil"/>
          <w:left w:val="nil"/>
          <w:bottom w:val="nil"/>
          <w:right w:val="nil"/>
          <w:between w:val="nil"/>
        </w:pBdr>
        <w:tabs>
          <w:tab w:val="left" w:pos="288"/>
        </w:tabs>
        <w:snapToGrid w:val="0"/>
        <w:spacing w:before="120" w:after="120" w:line="240" w:lineRule="auto"/>
        <w:jc w:val="both"/>
        <w:rPr>
          <w:rFonts w:ascii="Times New Roman" w:hAnsi="Times New Roman" w:cs="Times New Roman"/>
          <w:sz w:val="24"/>
          <w:szCs w:val="24"/>
        </w:rPr>
      </w:pPr>
      <w:r w:rsidRPr="009B58E8">
        <w:rPr>
          <w:rFonts w:ascii="Times New Roman" w:hAnsi="Times New Roman" w:cs="Times New Roman"/>
          <w:sz w:val="24"/>
          <w:szCs w:val="24"/>
        </w:rPr>
        <w:t xml:space="preserve">The framework developed by </w:t>
      </w:r>
      <w:r w:rsidRPr="009B58E8">
        <w:rPr>
          <w:rFonts w:ascii="Times New Roman" w:hAnsi="Times New Roman" w:cs="Times New Roman"/>
          <w:sz w:val="24"/>
          <w:szCs w:val="24"/>
        </w:rPr>
        <w:fldChar w:fldCharType="begin" w:fldLock="1"/>
      </w:r>
      <w:r w:rsidRPr="009B58E8">
        <w:rPr>
          <w:rFonts w:ascii="Times New Roman" w:hAnsi="Times New Roman" w:cs="Times New Roman"/>
          <w:sz w:val="24"/>
          <w:szCs w:val="24"/>
        </w:rPr>
        <w:instrText>ADDIN CSL_CITATION {"citationItems":[{"id":"ITEM-1","itemData":{"DOI":"10.1186/s42162-021-00142-y","ISSN":"25208942","abstract":"Due to the complexity of business ecosystems, the architecture of business ecosystems has not been well discussed in the literature, and modeling or simulation of business ecosystems has been rarely focused. Therefore, this paper proposes a business ecosystem ontology and introduces a methodology for business ecosystem architecture design. The proposed methodology includes five stages: 1) Boundary identification of a business ecosystem; 2) Identification of actors and their roles in the business ecosystem; 3) Identification of actors’ value propositions; 4) Identification of interaction between actors; 5) Verification of business ecosystem architecture design. This paper uses the Danish electricity system as an example to introduce the methodology, and use Electric Vehicle home charging as a case study to demonstrate the application of the developed methodology. The case study demonstrates that the proposed methodology is a systematic approach and can be easily applied to any ecosystem architecture design with the five stages, and the designed ecosystem architecture can represent the physical system and business. Several definitions are clarified in the paper, e.g., actor, role, interaction, ecosystem roadmap and expanded/shifted ecosystem, etc. With clear definitions, the proposed methodology provides a visualized, clear structure of behaviors and specifications for a given business ecosystem.","author":[{"dropping-particle":"","family":"Ma","given":"Zheng","non-dropping-particle":"","parse-names":false,"suffix":""},{"dropping-particle":"","family":"Christensen","given":"Kristoffer","non-dropping-particle":"","parse-names":false,"suffix":""},{"dropping-particle":"","family":"Jørgensen","given":"Bo Nørregaard","non-dropping-particle":"","parse-names":false,"suffix":""}],"container-title":"Energy Informatics","id":"ITEM-1","issue":"9","issued":{"date-parts":[["2021"]]},"page":"1-38","publisher":"Energy Informatics","title":"Business ecosystem architecture development: a case study of Electric Vehicle home charging","type":"article-journal","volume":"4"},"uris":["http://www.mendeley.com/documents/?uuid=3d5bf33f-5ae6-4125-9f3a-0f080d47edca"]}],"mendeley":{"formattedCitation":"(Ma et al., 2021)","manualFormatting":"Ma et al., (2021)","plainTextFormattedCitation":"(Ma et al., 2021)","previouslyFormattedCitation":"(Ma et al., 2021)"},"properties":{"noteIndex":0},"schema":"https://github.com/citation-style-language/schema/raw/master/csl-citation.json"}</w:instrText>
      </w:r>
      <w:r w:rsidRPr="009B58E8">
        <w:rPr>
          <w:rFonts w:ascii="Times New Roman" w:hAnsi="Times New Roman" w:cs="Times New Roman"/>
          <w:sz w:val="24"/>
          <w:szCs w:val="24"/>
        </w:rPr>
        <w:fldChar w:fldCharType="separate"/>
      </w:r>
      <w:r w:rsidRPr="009B58E8">
        <w:rPr>
          <w:rFonts w:ascii="Times New Roman" w:hAnsi="Times New Roman" w:cs="Times New Roman"/>
          <w:noProof/>
          <w:sz w:val="24"/>
          <w:szCs w:val="24"/>
        </w:rPr>
        <w:t>Ma et al., (2021)</w:t>
      </w:r>
      <w:r w:rsidRPr="009B58E8">
        <w:rPr>
          <w:rFonts w:ascii="Times New Roman" w:hAnsi="Times New Roman" w:cs="Times New Roman"/>
          <w:sz w:val="24"/>
          <w:szCs w:val="24"/>
        </w:rPr>
        <w:fldChar w:fldCharType="end"/>
      </w:r>
      <w:r w:rsidRPr="009B58E8">
        <w:rPr>
          <w:rFonts w:ascii="Times New Roman" w:hAnsi="Times New Roman" w:cs="Times New Roman"/>
          <w:sz w:val="24"/>
          <w:szCs w:val="24"/>
        </w:rPr>
        <w:t xml:space="preserve"> provides an overview of business ecosystem architecture steps that aim to identify the target business ecosystem and its elements consisting of actors, roles, and interactions. The business ecosystem architecture model is also discussed by </w:t>
      </w:r>
      <w:r w:rsidRPr="009B58E8">
        <w:rPr>
          <w:rFonts w:ascii="Times New Roman" w:hAnsi="Times New Roman" w:cs="Times New Roman"/>
          <w:sz w:val="24"/>
          <w:szCs w:val="24"/>
        </w:rPr>
        <w:fldChar w:fldCharType="begin" w:fldLock="1"/>
      </w:r>
      <w:r w:rsidRPr="009B58E8">
        <w:rPr>
          <w:rFonts w:ascii="Times New Roman" w:hAnsi="Times New Roman" w:cs="Times New Roman"/>
          <w:sz w:val="24"/>
          <w:szCs w:val="24"/>
        </w:rPr>
        <w:instrText>ADDIN CSL_CITATION {"citationItems":[{"id":"ITEM-1","itemData":{"DOI":"10.1007/978-3-319-93940-7_2","ISBN":"9783319939407","ISSN":"23674520","abstract":"Consumers looking for complex products, demand highly personalized combinations of individual products and services to satisfy a particular need. While online marketplaces work well for individual products and services (or a predefined combination of them), they fall short in supporting complex products. The complexity of finding the optimal product/service combinations overstrains consumers and increases the transaction and coordination costs for such products. Another issue related to contemporary online markets is the increasing concentration around platform-based ecosystems such as, e.g., Amazon, Alibaba or eBay. That increases the “positional power” of these platforms, putting them in the position, where they can dictate the rules and control access directing towards de facto centralization of previously decentralized online markets. To address these issues, we propose a novel business ecosystem model for complex products—a model of a strictly decentralized exchange environment purposefully designed to support complex products in a way to lower transaction and coordination costs and alleviate the adverse effects of growing platform power. This chapter introduces our ecosystem model by describing its primary artifacts: (1) the ecosystem structure, and (2) the ecosystem architecture. The ecosystem structure maps the activities, actors, their roles, and the essential value creation pattern required to support different complex product scenarios. It integrates various actors (i.e., individuals, companies, communities, autonomous agents, and machines), and enables them to constitute and enrich their ecosystem without any central instance of control or governance (i.e., underlying platform). The ecosystem architecture describes the building blocks of our ecosystem model, and the relationships among them considered essential to support the ecosystem structure on the operational level. It is represented by a highly scalable and strictly decentralized software-system architecture that supports arbitrarily complex products given existing domain-knowledge, relevant for commercial transactions in a particular domain. The feasibility of the proposed software-system design is demonstrated based on a prototypical implementation and an evaluation use case scenario.","author":[{"dropping-particle":"","family":"Radonjic-Simic","given":"Mirjana","non-dropping-particle":"","parse-names":false,"suffix":""},{"dropping-particle":"","family":"Pfisterer","given":"Dennis","non-dropping-particle":"","parse-names":false,"suffix":""}],"container-title":"Lecture Notes on Data Engineering and Communications Technologies","id":"ITEM-1","issued":{"date-parts":[["2019"]]},"number-of-pages":"23-52","title":"A Decentralized Business Ecosystem Model for Complex Products","type":"book","volume":"21"},"uris":["http://www.mendeley.com/documents/?uuid=c22b73ec-4f1d-4d06-afc0-cbbdb17fade3"]}],"mendeley":{"formattedCitation":"(Radonjic-Simic &amp; Pfisterer, 2019)","manualFormatting":"Radonjic-Simic &amp; Pfisterer (2019)","plainTextFormattedCitation":"(Radonjic-Simic &amp; Pfisterer, 2019)","previouslyFormattedCitation":"(Radonjic-Simic &amp; Pfisterer, 2019)"},"properties":{"noteIndex":0},"schema":"https://github.com/citation-style-language/schema/raw/master/csl-citation.json"}</w:instrText>
      </w:r>
      <w:r w:rsidRPr="009B58E8">
        <w:rPr>
          <w:rFonts w:ascii="Times New Roman" w:hAnsi="Times New Roman" w:cs="Times New Roman"/>
          <w:sz w:val="24"/>
          <w:szCs w:val="24"/>
        </w:rPr>
        <w:fldChar w:fldCharType="separate"/>
      </w:r>
      <w:r w:rsidRPr="009B58E8">
        <w:rPr>
          <w:rFonts w:ascii="Times New Roman" w:hAnsi="Times New Roman" w:cs="Times New Roman"/>
          <w:noProof/>
          <w:sz w:val="24"/>
          <w:szCs w:val="24"/>
        </w:rPr>
        <w:t>Radonjic-Simic &amp; Pfisterer (2019)</w:t>
      </w:r>
      <w:r w:rsidRPr="009B58E8">
        <w:rPr>
          <w:rFonts w:ascii="Times New Roman" w:hAnsi="Times New Roman" w:cs="Times New Roman"/>
          <w:sz w:val="24"/>
          <w:szCs w:val="24"/>
        </w:rPr>
        <w:fldChar w:fldCharType="end"/>
      </w:r>
      <w:r w:rsidRPr="009B58E8">
        <w:rPr>
          <w:rFonts w:ascii="Times New Roman" w:hAnsi="Times New Roman" w:cs="Times New Roman"/>
          <w:sz w:val="24"/>
          <w:szCs w:val="24"/>
        </w:rPr>
        <w:t xml:space="preserve"> that the elements of actors, roles, and their interactions are considered to correlate with each other in the ecosystem structure. This interaction in an ecosystem determines the roles and relationships between actors, which will ultimately shape the value of the form of cooperation carried out </w:t>
      </w:r>
      <w:r w:rsidRPr="009B58E8">
        <w:rPr>
          <w:rFonts w:ascii="Times New Roman" w:hAnsi="Times New Roman" w:cs="Times New Roman"/>
          <w:sz w:val="24"/>
          <w:szCs w:val="24"/>
        </w:rPr>
        <w:fldChar w:fldCharType="begin" w:fldLock="1"/>
      </w:r>
      <w:r w:rsidRPr="009B58E8">
        <w:rPr>
          <w:rFonts w:ascii="Times New Roman" w:hAnsi="Times New Roman" w:cs="Times New Roman"/>
          <w:sz w:val="24"/>
          <w:szCs w:val="24"/>
        </w:rPr>
        <w:instrText>ADDIN CSL_CITATION {"citationItems":[{"id":"ITEM-1","itemData":{"DOI":"10.1177/0149206316678451","ISSN":"15571211","abstract":"Over the past 20 years, the term “ecosystem” has become pervasive in discussions of strategy, both scholarly and applied. Its rise has mirrored an increasing interest and concern among both researchers and managers with interdependence across organizations and activities. This article presents a structuralist approach to conceptualizing the ecosystem construct. It presents a clear definition of the ecosystem construct, a grammar for characterizing ecosystem structure, and a characterization of the distinctive aspects of ecosystem strategy. This approach offers an explicit examination of the relationship among ecosystems and a host of alternative constructs (business models, platforms, coopetition, multisided markets, networks, technology systems, supply chains, value networks) that helps characterize where the ecosystem construct adds, and does not add, insight for the strategy literature.","author":[{"dropping-particle":"","family":"Adner","given":"Ron","non-dropping-particle":"","parse-names":false,"suffix":""}],"container-title":"Journal of Management","id":"ITEM-1","issue":"1","issued":{"date-parts":[["2017"]]},"page":"39-58","title":"Ecosystem as Structure: An Actionable Construct for Strategy","type":"article-journal","volume":"43"},"uris":["http://www.mendeley.com/documents/?uuid=daee13ec-affe-4d50-8317-9500e1d7a552"]},{"id":"ITEM-2","itemData":{"abstract":"At the sharing economy era, the online food reservation market has experienced great changes, such as the mobilization of ordering</w:instrText>
      </w:r>
      <w:r w:rsidRPr="009B58E8">
        <w:rPr>
          <w:rFonts w:ascii="MS Gothic" w:eastAsia="MS Gothic" w:hAnsi="MS Gothic" w:cs="MS Gothic" w:hint="eastAsia"/>
          <w:sz w:val="24"/>
          <w:szCs w:val="24"/>
        </w:rPr>
        <w:instrText>，</w:instrText>
      </w:r>
      <w:r w:rsidRPr="009B58E8">
        <w:rPr>
          <w:rFonts w:ascii="Times New Roman" w:hAnsi="Times New Roman" w:cs="Times New Roman"/>
          <w:sz w:val="24"/>
          <w:szCs w:val="24"/>
        </w:rPr>
        <w:instrText>cooperation of logistics, diversification of revenue stream. The ordering patterns has also changed from network order to improve user experience. At present, online food reservation market has difficulties inquickly dealing with the impacts and challenges bought by external environment due to lack of coordination and sharing mechanisms and competition over cooperation among economic individuals.Based on the theory of business ecosystem, this paper focuses on the impacts and challenges brought by the sharing economic era and takes “Huijiachifan” as a case study and proposes new framework of business ecosystem model in China's online food reservation market.","author":[{"dropping-particle":"","family":"Zhang","given":"Mingli","non-dropping-particle":"","parse-names":false,"suffix":""},{"dropping-particle":"","family":"Guo","given":"Ziyue","non-dropping-particle":"","parse-names":false,"suffix":""},{"dropping-particle":"","family":"Zheng","given":"Hongping","non-dropping-particle":"","parse-names":false,"suffix":""},{"dropping-particle":"","family":"Zuo","given":"Wei","non-dropping-particle":"","parse-names":false,"suffix":""}],"container-title":"15th Wuhan International Conference on E-Business, WHICEB 2016","id":"ITEM-2","issued":{"date-parts":[["2016"]]},"page":"78-85","title":"Research on the Innovation of Business Ecosystem Model in China’s 0nline Food Reservation Market at Sharing Economic Era","type":"paper-conference"},"uris":["http://www.mendeley.com/documents/?uuid=327e6808-3ccd-4362-bbac-54b76bcd460e"]}],"mendeley":{"formattedCitation":"(Adner, 2017; Zhang et al., 2016)","plainTextFormattedCitation":"(Adner, 2017; Zhang et al., 2016)","previouslyFormattedCitation":"(Adner, 2017; Zhang et al., 2016)"},"properties":{"noteIndex":0},"schema":"https://github.com/citation-style-language/schema/raw/master/csl-citation.json"}</w:instrText>
      </w:r>
      <w:r w:rsidRPr="009B58E8">
        <w:rPr>
          <w:rFonts w:ascii="Times New Roman" w:hAnsi="Times New Roman" w:cs="Times New Roman"/>
          <w:sz w:val="24"/>
          <w:szCs w:val="24"/>
        </w:rPr>
        <w:fldChar w:fldCharType="separate"/>
      </w:r>
      <w:r w:rsidRPr="009B58E8">
        <w:rPr>
          <w:rFonts w:ascii="Times New Roman" w:hAnsi="Times New Roman" w:cs="Times New Roman"/>
          <w:noProof/>
          <w:sz w:val="24"/>
          <w:szCs w:val="24"/>
        </w:rPr>
        <w:t>(Adner, 2017; Zhang et al., 2016)</w:t>
      </w:r>
      <w:r w:rsidRPr="009B58E8">
        <w:rPr>
          <w:rFonts w:ascii="Times New Roman" w:hAnsi="Times New Roman" w:cs="Times New Roman"/>
          <w:sz w:val="24"/>
          <w:szCs w:val="24"/>
        </w:rPr>
        <w:fldChar w:fldCharType="end"/>
      </w:r>
      <w:r w:rsidRPr="009B58E8">
        <w:rPr>
          <w:rFonts w:ascii="Times New Roman" w:eastAsia="Times New Roman" w:hAnsi="Times New Roman" w:cs="Times New Roman"/>
          <w:color w:val="000000"/>
          <w:sz w:val="24"/>
          <w:szCs w:val="24"/>
        </w:rPr>
        <w:t xml:space="preserve">. </w:t>
      </w:r>
      <w:r w:rsidRPr="009B58E8">
        <w:rPr>
          <w:rFonts w:ascii="Times New Roman" w:hAnsi="Times New Roman" w:cs="Times New Roman"/>
          <w:sz w:val="24"/>
          <w:szCs w:val="24"/>
        </w:rPr>
        <w:t xml:space="preserve">The business </w:t>
      </w:r>
      <w:r w:rsidRPr="009B58E8">
        <w:rPr>
          <w:rFonts w:ascii="Times New Roman" w:hAnsi="Times New Roman" w:cs="Times New Roman"/>
          <w:sz w:val="24"/>
          <w:szCs w:val="24"/>
        </w:rPr>
        <w:lastRenderedPageBreak/>
        <w:t>ecosystem model is an approach used to understand and analyze the complex relationships between various business entities in an environment. By building an ecosystem architecture model, attempting to identify key actors and their contributing roles and values, and analyzing the interactions between them, this approach provides a solid framework for understanding the complexity of business relationships.</w:t>
      </w:r>
    </w:p>
    <w:p w14:paraId="7237DEA0" w14:textId="1F0A9801" w:rsidR="00A10522" w:rsidRPr="001F685B" w:rsidRDefault="00A10522" w:rsidP="001F685B">
      <w:pPr>
        <w:snapToGrid w:val="0"/>
        <w:spacing w:before="120" w:after="120" w:line="240" w:lineRule="auto"/>
        <w:jc w:val="both"/>
        <w:rPr>
          <w:rFonts w:ascii="Times New Roman" w:eastAsia="Times New Roman" w:hAnsi="Times New Roman" w:cs="Times New Roman"/>
          <w:b/>
          <w:sz w:val="24"/>
          <w:szCs w:val="24"/>
          <w:shd w:val="clear" w:color="auto" w:fill="FFFFFF"/>
        </w:rPr>
      </w:pPr>
      <w:proofErr w:type="spellStart"/>
      <w:r w:rsidRPr="00A10522">
        <w:rPr>
          <w:rFonts w:ascii="Times New Roman" w:eastAsia="Times New Roman" w:hAnsi="Times New Roman" w:cs="Times New Roman"/>
          <w:b/>
          <w:sz w:val="24"/>
          <w:szCs w:val="24"/>
          <w:shd w:val="clear" w:color="auto" w:fill="FFFFFF"/>
          <w:lang w:val="id-ID"/>
        </w:rPr>
        <w:t>Method</w:t>
      </w:r>
      <w:proofErr w:type="spellEnd"/>
      <w:r w:rsidR="001F685B">
        <w:rPr>
          <w:rFonts w:ascii="Times New Roman" w:eastAsia="Times New Roman" w:hAnsi="Times New Roman" w:cs="Times New Roman"/>
          <w:b/>
          <w:sz w:val="24"/>
          <w:szCs w:val="24"/>
          <w:shd w:val="clear" w:color="auto" w:fill="FFFFFF"/>
        </w:rPr>
        <w:t>s</w:t>
      </w:r>
    </w:p>
    <w:p w14:paraId="7559EF4F" w14:textId="77777777" w:rsidR="009B58E8" w:rsidRDefault="009B58E8" w:rsidP="001F685B">
      <w:pPr>
        <w:snapToGrid w:val="0"/>
        <w:spacing w:before="120" w:after="120" w:line="240" w:lineRule="auto"/>
        <w:jc w:val="both"/>
        <w:rPr>
          <w:rFonts w:ascii="Times New Roman" w:eastAsia="Times New Roman" w:hAnsi="Times New Roman" w:cs="Times New Roman"/>
          <w:sz w:val="24"/>
          <w:szCs w:val="24"/>
          <w:shd w:val="clear" w:color="auto" w:fill="FFFFFF"/>
          <w:lang w:val="id-ID"/>
        </w:rPr>
      </w:pPr>
      <w:r w:rsidRPr="009B58E8">
        <w:rPr>
          <w:rFonts w:ascii="Times New Roman" w:hAnsi="Times New Roman" w:cs="Times New Roman"/>
          <w:sz w:val="24"/>
          <w:szCs w:val="24"/>
        </w:rPr>
        <w:t xml:space="preserve">This research uses a qualitative approach with the Research and Development (R&amp;D) method with the Modeling Business Ecosystem Architecture (TEAM) research design. This type of modeling business ecosystem architecture (TEAM) method was introduced by </w:t>
      </w:r>
      <w:r w:rsidRPr="009B58E8">
        <w:rPr>
          <w:rFonts w:ascii="Times New Roman" w:hAnsi="Times New Roman" w:cs="Times New Roman"/>
          <w:sz w:val="24"/>
          <w:szCs w:val="24"/>
        </w:rPr>
        <w:fldChar w:fldCharType="begin" w:fldLock="1"/>
      </w:r>
      <w:r w:rsidRPr="009B58E8">
        <w:rPr>
          <w:rFonts w:ascii="Times New Roman" w:hAnsi="Times New Roman" w:cs="Times New Roman"/>
          <w:sz w:val="24"/>
          <w:szCs w:val="24"/>
        </w:rPr>
        <w:instrText>ADDIN CSL_CITATION {"citationItems":[{"id":"ITEM-1","itemData":{"DOI":"10.1109/CBI.2019.00024","ISBN":"9781728106502","abstract":"The concept of enterprise architecture (EA) introduced in the 1980s refers to business-IT alignment in a single organization. The concept has proven its utility in the practice of IT management, but EA frameworks cannot deal with network organizations that are enabled by IT. EA frameworks assume a hierarchically coordinated organization, where final responsibility for strategy rests with management. The characteristic feature of network organizations is that there is no central coordinator with final responsibility. Yet, today's network organizations are facilitated by IT and they too must be aligned with their IT infrastructure. To align networked organizations, we must take the value viewpoint, which is absent in EA. This paper presents an approach to business-IT alignment for networked organizations based on the concept of networked value models. In addition, since there is no hierarchical management in a network, we view business-IT alignment in a network as a coordination game, and we include results from coordination theory and game theory in our approach. We illustrate our approach with an example from the electricity business and apply it to the Bitcoin network.","author":[{"dropping-particle":"","family":"Wieringa","given":"Roel","non-dropping-particle":"","parse-names":false,"suffix":""},{"dropping-particle":"","family":"Engelsman","given":"Wilco","non-dropping-particle":"","parse-names":false,"suffix":""},{"dropping-particle":"","family":"Gordijn","given":"Jaap","non-dropping-particle":"","parse-names":false,"suffix":""},{"dropping-particle":"","family":"Ionita","given":"Dan","non-dropping-particle":"","parse-names":false,"suffix":""}],"container-title":"Proceedings - 21st IEEE Conference on Business Informatics, CBI 2019","id":"ITEM-1","issued":{"date-parts":[["2019"]]},"page":"147-156","title":"A business ecosystem architecture modeling framework","type":"paper-conference","volume":"1"},"uris":["http://www.mendeley.com/documents/?uuid=4aa35ea5-bbac-41a0-b203-0763540bb342"]}],"mendeley":{"formattedCitation":"(Wieringa et al., 2019)","manualFormatting":"Wieringa et al., (2019)","plainTextFormattedCitation":"(Wieringa et al., 2019)","previouslyFormattedCitation":"(Wieringa et al., 2019)"},"properties":{"noteIndex":0},"schema":"https://github.com/citation-style-language/schema/raw/master/csl-citation.json"}</w:instrText>
      </w:r>
      <w:r w:rsidRPr="009B58E8">
        <w:rPr>
          <w:rFonts w:ascii="Times New Roman" w:hAnsi="Times New Roman" w:cs="Times New Roman"/>
          <w:sz w:val="24"/>
          <w:szCs w:val="24"/>
        </w:rPr>
        <w:fldChar w:fldCharType="separate"/>
      </w:r>
      <w:r w:rsidRPr="009B58E8">
        <w:rPr>
          <w:rFonts w:ascii="Times New Roman" w:hAnsi="Times New Roman" w:cs="Times New Roman"/>
          <w:noProof/>
          <w:sz w:val="24"/>
          <w:szCs w:val="24"/>
        </w:rPr>
        <w:t>Wieringa et al., (2019)</w:t>
      </w:r>
      <w:r w:rsidRPr="009B58E8">
        <w:rPr>
          <w:rFonts w:ascii="Times New Roman" w:hAnsi="Times New Roman" w:cs="Times New Roman"/>
          <w:sz w:val="24"/>
          <w:szCs w:val="24"/>
        </w:rPr>
        <w:fldChar w:fldCharType="end"/>
      </w:r>
      <w:r w:rsidRPr="009B58E8">
        <w:rPr>
          <w:rFonts w:ascii="Times New Roman" w:hAnsi="Times New Roman" w:cs="Times New Roman"/>
          <w:sz w:val="24"/>
          <w:szCs w:val="24"/>
        </w:rPr>
        <w:t xml:space="preserve"> which explains that this method can identify and map ecosystem architecture to technical infrastructure by modeling value exchanges between actors, such as the value network of an ecosystem. By taking a case study of the development of IoT business ecosystem architecture in the transportation sector at Telkom Indonesia, it aims to design and implement a business ecosystem model that suits the needs and challenges of the transportation industry. </w:t>
      </w:r>
    </w:p>
    <w:p w14:paraId="63359F5A" w14:textId="77777777" w:rsidR="009B58E8" w:rsidRDefault="009B58E8" w:rsidP="001F685B">
      <w:pPr>
        <w:snapToGrid w:val="0"/>
        <w:spacing w:before="120" w:after="120" w:line="240" w:lineRule="auto"/>
        <w:jc w:val="both"/>
        <w:rPr>
          <w:rFonts w:ascii="Times New Roman" w:eastAsia="Times New Roman" w:hAnsi="Times New Roman" w:cs="Times New Roman"/>
          <w:sz w:val="24"/>
          <w:szCs w:val="24"/>
          <w:shd w:val="clear" w:color="auto" w:fill="FFFFFF"/>
          <w:lang w:val="id-ID"/>
        </w:rPr>
      </w:pPr>
      <w:r w:rsidRPr="009B58E8">
        <w:rPr>
          <w:rFonts w:ascii="Times New Roman" w:hAnsi="Times New Roman" w:cs="Times New Roman"/>
          <w:sz w:val="24"/>
          <w:szCs w:val="24"/>
        </w:rPr>
        <w:t>The selection of informants as key persons or main informants in the research will be carried out from both internal and external sides of the company. From the internal side, the respondents come from Telkom Indonesia’s senior or middle manager officials at Tribe IoT in Telkom Indonesia’s Digital Business &amp; Technology Division, who play a role in decision-making and strategy determination in Telkom Indonesia’s IoT business, so that the research can dig deep insights into the company's vision, strategy implementation, and industry dynamics. While from the external side, the respondents will be represented by customers who use IoT services to explore the opportunities and threats of this business and can simultaneously compare with competitors in this business.</w:t>
      </w:r>
    </w:p>
    <w:p w14:paraId="05E51B75" w14:textId="77777777" w:rsidR="009B58E8" w:rsidRDefault="009B58E8" w:rsidP="001F685B">
      <w:pPr>
        <w:snapToGrid w:val="0"/>
        <w:spacing w:before="120" w:after="120" w:line="240" w:lineRule="auto"/>
        <w:jc w:val="both"/>
        <w:rPr>
          <w:rFonts w:ascii="Times New Roman" w:eastAsia="Times New Roman" w:hAnsi="Times New Roman" w:cs="Times New Roman"/>
          <w:sz w:val="24"/>
          <w:szCs w:val="24"/>
          <w:shd w:val="clear" w:color="auto" w:fill="FFFFFF"/>
          <w:lang w:val="id-ID"/>
        </w:rPr>
      </w:pPr>
      <w:r w:rsidRPr="009B58E8">
        <w:rPr>
          <w:rFonts w:ascii="Times New Roman" w:hAnsi="Times New Roman" w:cs="Times New Roman"/>
          <w:sz w:val="24"/>
          <w:szCs w:val="24"/>
        </w:rPr>
        <w:t xml:space="preserve">The data collection techniques used were interviews, observations, and literature studies. This research makes an important contribution to understanding the dynamics that occur in IoT businesses at the interacting ecosystem level. In this approach, the focus is on one particular entity or organization that implements an IoT platform, enabling an in-depth investigation of the strategies and business models implemented. The analysis techniques included manual coding of the data to find the main categories related to the business ecosystem architecture, as well as the application of the TEAM model to visualize the value exchanges and information flows between the actors. </w:t>
      </w:r>
    </w:p>
    <w:p w14:paraId="1FB3029E" w14:textId="7C8B450E" w:rsidR="009B58E8" w:rsidRPr="009B58E8" w:rsidRDefault="009B58E8" w:rsidP="001F685B">
      <w:pPr>
        <w:snapToGrid w:val="0"/>
        <w:spacing w:before="120" w:after="120" w:line="240" w:lineRule="auto"/>
        <w:jc w:val="both"/>
        <w:rPr>
          <w:rFonts w:ascii="Times New Roman" w:eastAsia="Times New Roman" w:hAnsi="Times New Roman" w:cs="Times New Roman"/>
          <w:sz w:val="24"/>
          <w:szCs w:val="24"/>
          <w:shd w:val="clear" w:color="auto" w:fill="FFFFFF"/>
          <w:lang w:val="id-ID"/>
        </w:rPr>
      </w:pPr>
      <w:r w:rsidRPr="009B58E8">
        <w:rPr>
          <w:rFonts w:ascii="Times New Roman" w:eastAsia="Times New Roman" w:hAnsi="Times New Roman" w:cs="Times New Roman"/>
          <w:color w:val="000000"/>
          <w:sz w:val="24"/>
          <w:szCs w:val="24"/>
        </w:rPr>
        <w:t xml:space="preserve">In the process of developing a business ecosystem architecture model, it is adopted from the modeling stages presented by </w:t>
      </w:r>
      <w:r w:rsidRPr="009B58E8">
        <w:rPr>
          <w:rFonts w:ascii="Times New Roman" w:hAnsi="Times New Roman" w:cs="Times New Roman"/>
          <w:sz w:val="24"/>
          <w:szCs w:val="24"/>
        </w:rPr>
        <w:fldChar w:fldCharType="begin" w:fldLock="1"/>
      </w:r>
      <w:r w:rsidRPr="009B58E8">
        <w:rPr>
          <w:rFonts w:ascii="Times New Roman" w:hAnsi="Times New Roman" w:cs="Times New Roman"/>
          <w:sz w:val="24"/>
          <w:szCs w:val="24"/>
        </w:rPr>
        <w:instrText>ADDIN CSL_CITATION {"citationItems":[{"id":"ITEM-1","itemData":{"DOI":"10.1186/s42162-021-00142-y","ISSN":"25208942","abstract":"Due to the complexity of business ecosystems, the architecture of business ecosystems has not been well discussed in the literature, and modeling or simulation of business ecosystems has been rarely focused. Therefore, this paper proposes a business ecosystem ontology and introduces a methodology for business ecosystem architecture design. The proposed methodology includes five stages: 1) Boundary identification of a business ecosystem; 2) Identification of actors and their roles in the business ecosystem; 3) Identification of actors’ value propositions; 4) Identification of interaction between actors; 5) Verification of business ecosystem architecture design. This paper uses the Danish electricity system as an example to introduce the methodology, and use Electric Vehicle home charging as a case study to demonstrate the application of the developed methodology. The case study demonstrates that the proposed methodology is a systematic approach and can be easily applied to any ecosystem architecture design with the five stages, and the designed ecosystem architecture can represent the physical system and business. Several definitions are clarified in the paper, e.g., actor, role, interaction, ecosystem roadmap and expanded/shifted ecosystem, etc. With clear definitions, the proposed methodology provides a visualized, clear structure of behaviors and specifications for a given business ecosystem.","author":[{"dropping-particle":"","family":"Ma","given":"Zheng","non-dropping-particle":"","parse-names":false,"suffix":""},{"dropping-particle":"","family":"Christensen","given":"Kristoffer","non-dropping-particle":"","parse-names":false,"suffix":""},{"dropping-particle":"","family":"Jørgensen","given":"Bo Nørregaard","non-dropping-particle":"","parse-names":false,"suffix":""}],"container-title":"Energy Informatics","id":"ITEM-1","issue":"9","issued":{"date-parts":[["2021"]]},"page":"1-38","publisher":"Energy Informatics","title":"Business ecosystem architecture development: a case study of Electric Vehicle home charging","type":"article-journal","volume":"4"},"uris":["http://www.mendeley.com/documents/?uuid=3d5bf33f-5ae6-4125-9f3a-0f080d47edca"]}],"mendeley":{"formattedCitation":"(Ma et al., 2021)","manualFormatting":"Ma et al., (2021)","plainTextFormattedCitation":"(Ma et al., 2021)","previouslyFormattedCitation":"(Ma et al., 2021)"},"properties":{"noteIndex":0},"schema":"https://github.com/citation-style-language/schema/raw/master/csl-citation.json"}</w:instrText>
      </w:r>
      <w:r w:rsidRPr="009B58E8">
        <w:rPr>
          <w:rFonts w:ascii="Times New Roman" w:hAnsi="Times New Roman" w:cs="Times New Roman"/>
          <w:sz w:val="24"/>
          <w:szCs w:val="24"/>
        </w:rPr>
        <w:fldChar w:fldCharType="separate"/>
      </w:r>
      <w:r w:rsidRPr="009B58E8">
        <w:rPr>
          <w:rFonts w:ascii="Times New Roman" w:hAnsi="Times New Roman" w:cs="Times New Roman"/>
          <w:noProof/>
          <w:sz w:val="24"/>
          <w:szCs w:val="24"/>
        </w:rPr>
        <w:t>Ma et al., (2021)</w:t>
      </w:r>
      <w:r w:rsidRPr="009B58E8">
        <w:rPr>
          <w:rFonts w:ascii="Times New Roman" w:hAnsi="Times New Roman" w:cs="Times New Roman"/>
          <w:sz w:val="24"/>
          <w:szCs w:val="24"/>
        </w:rPr>
        <w:fldChar w:fldCharType="end"/>
      </w:r>
      <w:r w:rsidRPr="009B58E8">
        <w:rPr>
          <w:rFonts w:ascii="Times New Roman" w:hAnsi="Times New Roman" w:cs="Times New Roman"/>
          <w:sz w:val="24"/>
          <w:szCs w:val="24"/>
        </w:rPr>
        <w:t xml:space="preserve">, which consist of four stages. In the first stage, the identification of business ecosystem boundaries will be examined with PESTEL, SWOT, and Porter 5 Forces analyses. Using these types of analyses, the business ecosystem will be comprehensively identified to identify external and internal factors that affect the performance and sustainability of the ecosystem </w:t>
      </w:r>
      <w:r w:rsidRPr="009B58E8">
        <w:rPr>
          <w:rFonts w:ascii="Times New Roman" w:hAnsi="Times New Roman" w:cs="Times New Roman"/>
          <w:bCs/>
          <w:sz w:val="24"/>
          <w:szCs w:val="24"/>
        </w:rPr>
        <w:fldChar w:fldCharType="begin" w:fldLock="1"/>
      </w:r>
      <w:r w:rsidRPr="009B58E8">
        <w:rPr>
          <w:rFonts w:ascii="Times New Roman" w:hAnsi="Times New Roman" w:cs="Times New Roman"/>
          <w:bCs/>
          <w:sz w:val="24"/>
          <w:szCs w:val="24"/>
        </w:rPr>
        <w:instrText>ADDIN CSL_CITATION {"citationItems":[{"id":"ITEM-1","itemData":{"DOI":"10.32628/ijsrst218624","ISSN":"2395-6011","abstract":"According to the company annual report (INKP Annual Report, 2019), PT. Indah Kiat Pulp and Paper (INKP) experienced a decrease in net sales of 3.4% and net profit of 53.4% from the previous year. The decline was followed by the Covid-19 pandemic which could affect the company's sales and profits. The study was conducted using a descriptive approach in order to capture the phenomena that occur through analysis of current conditions both internal and external using PESTLE, Porter, and SWOT analysis. Afterwards, it formulates the company objective, strategy, tactics, action, and evaluation or control using the SOSTAC® framework based on the analysis result. Data are obtained from interviews, observations, documentation, and publication reports. The results of the research describe that the predominant internal strategy factors on the Strengths of INKP are the product quality and production process efficiency, and the Weaknesses are product distribution and its distribution channels. Meanwhile, the predominant external strategic factors on Opportunities are other needs in pulp derivative product, availability of raw materials and fiscal policy, and as for Threats are a decrease in fine paper demand and technology adaptation. Using the Cartesian SWOT diagram, it is found that the results of EFAS and IFAS are in the ST main strategy quadrant, which is Diversification. Based on the results of the analysis, it can be formulated that the objectives of the INKP strategy are to make diversification product such as rayon fiber with masks as the final product from pulp as the raw materials in 1 year and shifting production from 56% paper and 43% pulp to 45% paper, 34% pulp, and 20% rayon fiber in 3 years to maintain sales volume and gain increased profit. The corporate level strategy is a diversification product while the business level strategy is a differentiation product in accordance with Porter's Generic Matrix. This investment has a positive value of both CAPM and NPV while CAPM has 0.0708 value. As for the IRR, the rate of return is 39.87%. Planned tactics and actions using project management with Gantt Chart within a project period of 1 year in the main activities of building production lines and marketing. Control and evaluation are carried out through the implementation of targets or KPI in accordance with work functions. EBIT and EBITDA is used at the final level of overall production and marketing.","author":[{"dropping-particle":"","family":"Putera","given":"Gery Azhari","non-dropping-particle":"","parse-names":false,"suffix":""},{"dropping-particle":"","family":"Heikal","given":"Jerry","non-dropping-particle":"","parse-names":false,"suffix":""}],"container-title":"International Journal of Scientific Research in Science and Technology","id":"ITEM-1","issue":"6","issued":{"date-parts":[["2021"]]},"page":"252-270","title":"Business Strategy of Indah Kiat Pulp and Paper Perawang Mill, Riau, Indonesia using PESTLE, Porter’s Five Forces, and SWOT Analysis under SOSTAC® Framework","type":"article-journal","volume":"8"},"uris":["http://www.mendeley.com/documents/?uuid=30a36c9c-bd63-4d50-88ad-9b7a44dd34d6"]}],"mendeley":{"formattedCitation":"(Putera &amp; Heikal, 2021)","manualFormatting":"(Putera &amp; Heikal, 2021; Danivola &amp; Kuznetsova, 2020;","plainTextFormattedCitation":"(Putera &amp; Heikal, 2021)","previouslyFormattedCitation":"(Putera &amp; Heikal, 2021)"},"properties":{"noteIndex":0},"schema":"https://github.com/citation-style-language/schema/raw/master/csl-citation.json"}</w:instrText>
      </w:r>
      <w:r w:rsidRPr="009B58E8">
        <w:rPr>
          <w:rFonts w:ascii="Times New Roman" w:hAnsi="Times New Roman" w:cs="Times New Roman"/>
          <w:bCs/>
          <w:sz w:val="24"/>
          <w:szCs w:val="24"/>
        </w:rPr>
        <w:fldChar w:fldCharType="separate"/>
      </w:r>
      <w:r w:rsidRPr="009B58E8">
        <w:rPr>
          <w:rFonts w:ascii="Times New Roman" w:hAnsi="Times New Roman" w:cs="Times New Roman"/>
          <w:bCs/>
          <w:noProof/>
          <w:sz w:val="24"/>
          <w:szCs w:val="24"/>
        </w:rPr>
        <w:t>(Putera &amp; Heikal, 2021;</w:t>
      </w:r>
      <w:r w:rsidRPr="009B58E8">
        <w:rPr>
          <w:rFonts w:ascii="Times New Roman" w:hAnsi="Times New Roman" w:cs="Times New Roman"/>
          <w:bCs/>
          <w:noProof/>
          <w:sz w:val="24"/>
          <w:szCs w:val="24"/>
        </w:rPr>
        <w:fldChar w:fldCharType="begin" w:fldLock="1"/>
      </w:r>
      <w:r w:rsidRPr="009B58E8">
        <w:rPr>
          <w:rFonts w:ascii="Times New Roman" w:hAnsi="Times New Roman" w:cs="Times New Roman"/>
          <w:bCs/>
          <w:noProof/>
          <w:sz w:val="24"/>
          <w:szCs w:val="24"/>
        </w:rPr>
        <w:instrText>ADDIN CSL_CITATION {"citationItems":[{"id":"ITEM-1","itemData":{"DOI":"10.46340/eujem.2020.6.2.18","ISSN":"25334794","abstract":"The most common instruments for marketing analysis are considered in the paper to develop a successful startup marketing strategy. The choice of the most effective tool for analyzing the macro-, micro- marketing environment and internal environment of company/organization depends on market geography, industry, size of the company, resources, market type, life cycle of the market / product, etc. The paper systematizes the traditional marketing tools for strategy creation and justifies the possibility of their use in building up a startup viable business model. The specifics of the venture investor-consumer are identified. The authors’ approach to the summarization of marketing strategy tools is proposed, and each cluster is considered with appropriate management concepts and models. The importance of marketing strategy for startups in the uncertain conditions has been explained and proven. Keywords: marketing research, macromarketing environment, micromarketing environment, marketing strategy, startup, marketing tools, business model.","author":[{"dropping-particle":"","family":"Danivola","given":"Nicole","non-dropping-particle":"","parse-names":false,"suffix":""},{"dropping-particle":"","family":"Kuznetsova","given":"Yuliia","non-dropping-particle":"","parse-names":false,"suffix":""}],"container-title":"European Journal of Economics and Management","id":"ITEM-1","issue":"2","issued":{"date-parts":[["2020"]]},"page":"150-163","title":"Market Analysis Instruments in the Development of the Startup Marketing Strategy","type":"article-journal","volume":"6"},"uris":["http://www.mendeley.com/documents/?uuid=cfdb2043-64ec-4262-8b33-ccc02bc5a87b"]}],"mendeley":{"formattedCitation":"(Danivola &amp; Kuznetsova, 2020)","manualFormatting":" Danivola &amp; Kuznetsova, 2020;","plainTextFormattedCitation":"(Danivola &amp; Kuznetsova, 2020)","previouslyFormattedCitation":"(Danivola &amp; Kuznetsova, 2020)"},"properties":{"noteIndex":0},"schema":"https://github.com/citation-style-language/schema/raw/master/csl-citation.json"}</w:instrText>
      </w:r>
      <w:r w:rsidRPr="009B58E8">
        <w:rPr>
          <w:rFonts w:ascii="Times New Roman" w:hAnsi="Times New Roman" w:cs="Times New Roman"/>
          <w:bCs/>
          <w:noProof/>
          <w:sz w:val="24"/>
          <w:szCs w:val="24"/>
        </w:rPr>
        <w:fldChar w:fldCharType="separate"/>
      </w:r>
      <w:r w:rsidRPr="009B58E8">
        <w:rPr>
          <w:rFonts w:ascii="Times New Roman" w:hAnsi="Times New Roman" w:cs="Times New Roman"/>
          <w:bCs/>
          <w:noProof/>
          <w:sz w:val="24"/>
          <w:szCs w:val="24"/>
        </w:rPr>
        <w:t xml:space="preserve"> Danivola &amp; Kuznetsova, 2020;</w:t>
      </w:r>
      <w:r w:rsidRPr="009B58E8">
        <w:rPr>
          <w:rFonts w:ascii="Times New Roman" w:hAnsi="Times New Roman" w:cs="Times New Roman"/>
          <w:bCs/>
          <w:noProof/>
          <w:sz w:val="24"/>
          <w:szCs w:val="24"/>
        </w:rPr>
        <w:fldChar w:fldCharType="end"/>
      </w:r>
      <w:r w:rsidRPr="009B58E8">
        <w:rPr>
          <w:rFonts w:ascii="Times New Roman" w:hAnsi="Times New Roman" w:cs="Times New Roman"/>
          <w:bCs/>
          <w:sz w:val="24"/>
          <w:szCs w:val="24"/>
        </w:rPr>
        <w:fldChar w:fldCharType="end"/>
      </w:r>
      <w:r w:rsidRPr="009B58E8">
        <w:rPr>
          <w:rFonts w:ascii="Times New Roman" w:hAnsi="Times New Roman" w:cs="Times New Roman"/>
          <w:bCs/>
          <w:sz w:val="24"/>
          <w:szCs w:val="24"/>
        </w:rPr>
        <w:t xml:space="preserve"> </w:t>
      </w:r>
      <w:r w:rsidRPr="009B58E8">
        <w:rPr>
          <w:rFonts w:ascii="Times New Roman" w:hAnsi="Times New Roman" w:cs="Times New Roman"/>
          <w:bCs/>
          <w:sz w:val="24"/>
          <w:szCs w:val="24"/>
        </w:rPr>
        <w:fldChar w:fldCharType="begin" w:fldLock="1"/>
      </w:r>
      <w:r w:rsidRPr="009B58E8">
        <w:rPr>
          <w:rFonts w:ascii="Times New Roman" w:hAnsi="Times New Roman" w:cs="Times New Roman"/>
          <w:bCs/>
          <w:sz w:val="24"/>
          <w:szCs w:val="24"/>
        </w:rPr>
        <w:instrText>ADDIN CSL_CITATION {"citationItems":[{"id":"ITEM-1","itemData":{"DOI":"10.1007/978-3-030-13823-3","author":[{"dropping-particle":"","family":"Kreutzer","given":"Ralf T.","non-dropping-particle":"","parse-names":false,"suffix":""}],"container-title":"Toolbox for Marketing and Management: Creative Concepts, Forecasting Methods, and Analytical Instruments","id":"ITEM-1","issued":{"date-parts":[["2019"]]},"page":"89–142","publisher":"Springer Cham","title":"Tools for the Strategic Analysis","type":"chapter"},"uris":["http://www.mendeley.com/documents/?uuid=ca2bd052-68ee-42ca-a6e0-7ee96873c0d5"]}],"mendeley":{"formattedCitation":"(Kreutzer, 2019)","manualFormatting":"Kreutzer, 2019)","plainTextFormattedCitation":"(Kreutzer, 2019)","previouslyFormattedCitation":"(Kreutzer, 2019)"},"properties":{"noteIndex":0},"schema":"https://github.com/citation-style-language/schema/raw/master/csl-citation.json"}</w:instrText>
      </w:r>
      <w:r w:rsidRPr="009B58E8">
        <w:rPr>
          <w:rFonts w:ascii="Times New Roman" w:hAnsi="Times New Roman" w:cs="Times New Roman"/>
          <w:bCs/>
          <w:sz w:val="24"/>
          <w:szCs w:val="24"/>
        </w:rPr>
        <w:fldChar w:fldCharType="separate"/>
      </w:r>
      <w:r w:rsidRPr="009B58E8">
        <w:rPr>
          <w:rFonts w:ascii="Times New Roman" w:hAnsi="Times New Roman" w:cs="Times New Roman"/>
          <w:bCs/>
          <w:noProof/>
          <w:sz w:val="24"/>
          <w:szCs w:val="24"/>
        </w:rPr>
        <w:t>Kreutzer, 2019)</w:t>
      </w:r>
      <w:r w:rsidRPr="009B58E8">
        <w:rPr>
          <w:rFonts w:ascii="Times New Roman" w:hAnsi="Times New Roman" w:cs="Times New Roman"/>
          <w:bCs/>
          <w:sz w:val="24"/>
          <w:szCs w:val="24"/>
        </w:rPr>
        <w:fldChar w:fldCharType="end"/>
      </w:r>
      <w:r w:rsidRPr="009B58E8">
        <w:rPr>
          <w:rFonts w:ascii="Times New Roman" w:hAnsi="Times New Roman" w:cs="Times New Roman"/>
          <w:bCs/>
          <w:sz w:val="24"/>
          <w:szCs w:val="24"/>
        </w:rPr>
        <w:t>. The second stage is to identify the actors and their roles in the business ecosystem. The third stage is to identify the value of each actor. The fourth stage is identifying interactions between actors. And the last stage, verifying the design of the IoT business ecosystem architecture model in the transportation sector at Telkom Indonesia.</w:t>
      </w:r>
    </w:p>
    <w:p w14:paraId="31783C5E" w14:textId="77777777" w:rsidR="009B58E8" w:rsidRPr="009B58E8" w:rsidRDefault="009B58E8" w:rsidP="001F685B">
      <w:pPr>
        <w:snapToGrid w:val="0"/>
        <w:spacing w:before="120" w:after="120" w:line="240" w:lineRule="auto"/>
        <w:jc w:val="center"/>
        <w:rPr>
          <w:rFonts w:ascii="Times New Roman" w:hAnsi="Times New Roman" w:cs="Times New Roman"/>
          <w:sz w:val="24"/>
          <w:szCs w:val="24"/>
        </w:rPr>
      </w:pPr>
      <w:r w:rsidRPr="009B58E8">
        <w:rPr>
          <w:rFonts w:ascii="Times New Roman" w:hAnsi="Times New Roman" w:cs="Times New Roman"/>
          <w:noProof/>
          <w:sz w:val="24"/>
          <w:szCs w:val="24"/>
        </w:rPr>
        <w:lastRenderedPageBreak/>
        <w:drawing>
          <wp:inline distT="0" distB="0" distL="0" distR="0" wp14:anchorId="530BEBE0" wp14:editId="495E30E0">
            <wp:extent cx="5711053" cy="4092102"/>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1053" cy="4092102"/>
                    </a:xfrm>
                    <a:prstGeom prst="rect">
                      <a:avLst/>
                    </a:prstGeom>
                    <a:noFill/>
                  </pic:spPr>
                </pic:pic>
              </a:graphicData>
            </a:graphic>
          </wp:inline>
        </w:drawing>
      </w:r>
    </w:p>
    <w:p w14:paraId="5BBE5C7E" w14:textId="38988780" w:rsidR="009B58E8" w:rsidRPr="001F685B" w:rsidRDefault="009B58E8" w:rsidP="001F685B">
      <w:pPr>
        <w:snapToGrid w:val="0"/>
        <w:spacing w:before="120" w:after="120" w:line="240" w:lineRule="auto"/>
        <w:jc w:val="center"/>
        <w:rPr>
          <w:rFonts w:ascii="Times New Roman" w:eastAsia="Times New Roman" w:hAnsi="Times New Roman" w:cs="Times New Roman"/>
          <w:sz w:val="24"/>
          <w:szCs w:val="24"/>
          <w:shd w:val="clear" w:color="auto" w:fill="FFFFFF"/>
        </w:rPr>
      </w:pPr>
      <w:r w:rsidRPr="009B58E8">
        <w:rPr>
          <w:rFonts w:ascii="Times New Roman" w:hAnsi="Times New Roman" w:cs="Times New Roman"/>
          <w:sz w:val="24"/>
          <w:szCs w:val="24"/>
        </w:rPr>
        <w:t>Figure 2. Overview of Business Ecosystem Architecture Research and Development Process</w:t>
      </w:r>
    </w:p>
    <w:p w14:paraId="026D7371" w14:textId="02E8891D" w:rsidR="00A10522" w:rsidRPr="001F685B" w:rsidRDefault="00A10522" w:rsidP="001F685B">
      <w:pPr>
        <w:snapToGrid w:val="0"/>
        <w:spacing w:before="120" w:after="120" w:line="240" w:lineRule="auto"/>
        <w:jc w:val="both"/>
        <w:rPr>
          <w:rFonts w:ascii="Times New Roman" w:eastAsia="Times New Roman" w:hAnsi="Times New Roman" w:cs="Times New Roman"/>
          <w:b/>
          <w:sz w:val="24"/>
          <w:szCs w:val="24"/>
          <w:shd w:val="clear" w:color="auto" w:fill="FFFFFF"/>
        </w:rPr>
      </w:pPr>
      <w:proofErr w:type="spellStart"/>
      <w:r w:rsidRPr="00A10522">
        <w:rPr>
          <w:rFonts w:ascii="Times New Roman" w:eastAsia="Times New Roman" w:hAnsi="Times New Roman" w:cs="Times New Roman"/>
          <w:b/>
          <w:sz w:val="24"/>
          <w:szCs w:val="24"/>
          <w:shd w:val="clear" w:color="auto" w:fill="FFFFFF"/>
          <w:lang w:val="id-ID"/>
        </w:rPr>
        <w:t>Results</w:t>
      </w:r>
      <w:proofErr w:type="spellEnd"/>
      <w:r w:rsidRPr="00A10522">
        <w:rPr>
          <w:rFonts w:ascii="Times New Roman" w:eastAsia="Times New Roman" w:hAnsi="Times New Roman" w:cs="Times New Roman"/>
          <w:b/>
          <w:sz w:val="24"/>
          <w:szCs w:val="24"/>
          <w:shd w:val="clear" w:color="auto" w:fill="FFFFFF"/>
          <w:lang w:val="id-ID"/>
        </w:rPr>
        <w:t xml:space="preserve"> </w:t>
      </w:r>
      <w:r w:rsidR="001F685B">
        <w:rPr>
          <w:rFonts w:ascii="Times New Roman" w:eastAsia="Times New Roman" w:hAnsi="Times New Roman" w:cs="Times New Roman"/>
          <w:b/>
          <w:sz w:val="24"/>
          <w:szCs w:val="24"/>
          <w:shd w:val="clear" w:color="auto" w:fill="FFFFFF"/>
        </w:rPr>
        <w:t>and Discussion</w:t>
      </w:r>
    </w:p>
    <w:p w14:paraId="0529913E" w14:textId="37C28A3A" w:rsidR="009B58E8" w:rsidRPr="009B58E8" w:rsidRDefault="009B58E8" w:rsidP="001F685B">
      <w:pPr>
        <w:snapToGrid w:val="0"/>
        <w:spacing w:before="120" w:after="120" w:line="240" w:lineRule="auto"/>
        <w:rPr>
          <w:rFonts w:ascii="Times New Roman" w:eastAsia="Times New Roman" w:hAnsi="Times New Roman" w:cs="Times New Roman"/>
          <w:b/>
          <w:sz w:val="24"/>
        </w:rPr>
      </w:pPr>
      <w:r w:rsidRPr="009B58E8">
        <w:rPr>
          <w:rFonts w:ascii="Times New Roman" w:hAnsi="Times New Roman" w:cs="Times New Roman"/>
          <w:b/>
          <w:sz w:val="24"/>
        </w:rPr>
        <w:t>Identify the Business Ecosystem Boundaries</w:t>
      </w:r>
    </w:p>
    <w:p w14:paraId="26B597AB" w14:textId="77777777" w:rsidR="009B58E8" w:rsidRPr="009B58E8" w:rsidRDefault="009B58E8" w:rsidP="001F685B">
      <w:pPr>
        <w:tabs>
          <w:tab w:val="left" w:pos="709"/>
        </w:tabs>
        <w:snapToGrid w:val="0"/>
        <w:spacing w:before="120" w:after="120" w:line="240" w:lineRule="auto"/>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In this section, the ecosystem boundary analysis will be examined using PESTEL, SWOT, and Porter 5 Forces. The following is the explanation:</w:t>
      </w:r>
    </w:p>
    <w:p w14:paraId="1F88520A" w14:textId="77777777" w:rsidR="009B58E8" w:rsidRPr="009B58E8" w:rsidRDefault="009B58E8" w:rsidP="001F685B">
      <w:pPr>
        <w:keepLines/>
        <w:pBdr>
          <w:top w:val="nil"/>
          <w:left w:val="nil"/>
          <w:bottom w:val="nil"/>
          <w:right w:val="nil"/>
          <w:between w:val="nil"/>
        </w:pBdr>
        <w:snapToGrid w:val="0"/>
        <w:spacing w:before="120" w:after="120" w:line="240" w:lineRule="auto"/>
        <w:jc w:val="center"/>
        <w:rPr>
          <w:rFonts w:ascii="Times New Roman" w:eastAsia="Times New Roman" w:hAnsi="Times New Roman" w:cs="Times New Roman"/>
          <w:color w:val="000000" w:themeColor="text1"/>
          <w:sz w:val="24"/>
          <w:szCs w:val="24"/>
        </w:rPr>
      </w:pPr>
      <w:r w:rsidRPr="009B58E8">
        <w:rPr>
          <w:rFonts w:ascii="Times New Roman" w:eastAsia="Times New Roman" w:hAnsi="Times New Roman" w:cs="Times New Roman"/>
          <w:color w:val="000000" w:themeColor="text1"/>
          <w:sz w:val="24"/>
          <w:szCs w:val="24"/>
        </w:rPr>
        <w:t>Table 1. PESTEL Analysis</w:t>
      </w:r>
    </w:p>
    <w:tbl>
      <w:tblPr>
        <w:tblStyle w:val="TableGrid"/>
        <w:tblW w:w="0" w:type="auto"/>
        <w:tblInd w:w="108" w:type="dxa"/>
        <w:tblLook w:val="04A0" w:firstRow="1" w:lastRow="0" w:firstColumn="1" w:lastColumn="0" w:noHBand="0" w:noVBand="1"/>
      </w:tblPr>
      <w:tblGrid>
        <w:gridCol w:w="2297"/>
        <w:gridCol w:w="6611"/>
      </w:tblGrid>
      <w:tr w:rsidR="009B58E8" w:rsidRPr="009B58E8" w14:paraId="0458DC80" w14:textId="77777777" w:rsidTr="001F685B">
        <w:tc>
          <w:tcPr>
            <w:tcW w:w="2297" w:type="dxa"/>
            <w:vAlign w:val="center"/>
          </w:tcPr>
          <w:p w14:paraId="4BC01815" w14:textId="77777777" w:rsidR="009B58E8" w:rsidRPr="009B58E8" w:rsidRDefault="009B58E8" w:rsidP="001F685B">
            <w:pPr>
              <w:tabs>
                <w:tab w:val="left" w:pos="709"/>
              </w:tabs>
              <w:jc w:val="center"/>
              <w:rPr>
                <w:rFonts w:ascii="Times New Roman" w:hAnsi="Times New Roman" w:cs="Times New Roman"/>
                <w:b/>
                <w:bCs/>
                <w:color w:val="000000" w:themeColor="text1"/>
                <w:sz w:val="24"/>
                <w:szCs w:val="24"/>
              </w:rPr>
            </w:pPr>
            <w:r w:rsidRPr="009B58E8">
              <w:rPr>
                <w:rFonts w:ascii="Times New Roman" w:hAnsi="Times New Roman" w:cs="Times New Roman"/>
                <w:b/>
                <w:bCs/>
                <w:color w:val="000000" w:themeColor="text1"/>
                <w:sz w:val="24"/>
                <w:szCs w:val="24"/>
              </w:rPr>
              <w:t>PESTEL Indicator</w:t>
            </w:r>
          </w:p>
        </w:tc>
        <w:tc>
          <w:tcPr>
            <w:tcW w:w="6611" w:type="dxa"/>
          </w:tcPr>
          <w:p w14:paraId="2368BE4A" w14:textId="77777777" w:rsidR="009B58E8" w:rsidRPr="009B58E8" w:rsidRDefault="009B58E8" w:rsidP="009B58E8">
            <w:pPr>
              <w:tabs>
                <w:tab w:val="left" w:pos="709"/>
              </w:tabs>
              <w:jc w:val="center"/>
              <w:rPr>
                <w:rFonts w:ascii="Times New Roman" w:hAnsi="Times New Roman" w:cs="Times New Roman"/>
                <w:b/>
                <w:bCs/>
                <w:color w:val="000000" w:themeColor="text1"/>
                <w:sz w:val="24"/>
                <w:szCs w:val="24"/>
              </w:rPr>
            </w:pPr>
            <w:r w:rsidRPr="009B58E8">
              <w:rPr>
                <w:rFonts w:ascii="Times New Roman" w:hAnsi="Times New Roman" w:cs="Times New Roman"/>
                <w:b/>
                <w:bCs/>
                <w:color w:val="000000" w:themeColor="text1"/>
                <w:sz w:val="24"/>
                <w:szCs w:val="24"/>
              </w:rPr>
              <w:t>Findings</w:t>
            </w:r>
          </w:p>
        </w:tc>
      </w:tr>
      <w:tr w:rsidR="009B58E8" w:rsidRPr="009B58E8" w14:paraId="70CFEE3E" w14:textId="77777777" w:rsidTr="001F685B">
        <w:tc>
          <w:tcPr>
            <w:tcW w:w="2297" w:type="dxa"/>
            <w:vAlign w:val="center"/>
          </w:tcPr>
          <w:p w14:paraId="600FD624" w14:textId="77777777" w:rsidR="009B58E8" w:rsidRPr="009B58E8" w:rsidRDefault="009B58E8" w:rsidP="001F685B">
            <w:pPr>
              <w:tabs>
                <w:tab w:val="left" w:pos="709"/>
              </w:tabs>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Political</w:t>
            </w:r>
          </w:p>
        </w:tc>
        <w:tc>
          <w:tcPr>
            <w:tcW w:w="6611" w:type="dxa"/>
          </w:tcPr>
          <w:p w14:paraId="5A971365" w14:textId="77777777" w:rsidR="009B58E8" w:rsidRPr="009B58E8" w:rsidRDefault="009B58E8" w:rsidP="009B58E8">
            <w:pPr>
              <w:tabs>
                <w:tab w:val="left" w:pos="709"/>
              </w:tabs>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Telkom Indonesia is leveraging Presidential Regulation 122/2016 to enhance its IoT services, focusing on improving operational efficiency, safety, and user experience. The move aligns with the 2020-2024 National Medium-Term Development Plan and Sustainable Development Goal, ensuring the country's transportation infrastructure development.</w:t>
            </w:r>
          </w:p>
        </w:tc>
      </w:tr>
      <w:tr w:rsidR="009B58E8" w:rsidRPr="009B58E8" w14:paraId="34BA9A33" w14:textId="77777777" w:rsidTr="001F685B">
        <w:tc>
          <w:tcPr>
            <w:tcW w:w="2297" w:type="dxa"/>
            <w:vAlign w:val="center"/>
          </w:tcPr>
          <w:p w14:paraId="73F3B795" w14:textId="77777777" w:rsidR="009B58E8" w:rsidRPr="009B58E8" w:rsidRDefault="009B58E8" w:rsidP="001F685B">
            <w:pPr>
              <w:tabs>
                <w:tab w:val="left" w:pos="709"/>
              </w:tabs>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Economic</w:t>
            </w:r>
          </w:p>
        </w:tc>
        <w:tc>
          <w:tcPr>
            <w:tcW w:w="6611" w:type="dxa"/>
          </w:tcPr>
          <w:p w14:paraId="67D6C118" w14:textId="77777777" w:rsidR="009B58E8" w:rsidRPr="009B58E8" w:rsidRDefault="009B58E8" w:rsidP="009B58E8">
            <w:pPr>
              <w:tabs>
                <w:tab w:val="left" w:pos="709"/>
              </w:tabs>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Telkom Indonesia is leveraging IoT technology to enhance operational efficiency and develop new services in the transport industry, aligning with its strategy to expand market share and create value. IoT services like fleet management contribute to national productivity and competitiveness.</w:t>
            </w:r>
          </w:p>
        </w:tc>
      </w:tr>
      <w:tr w:rsidR="009B58E8" w:rsidRPr="009B58E8" w14:paraId="792B3E42" w14:textId="77777777" w:rsidTr="001F685B">
        <w:tc>
          <w:tcPr>
            <w:tcW w:w="2297" w:type="dxa"/>
            <w:vAlign w:val="center"/>
          </w:tcPr>
          <w:p w14:paraId="75BA6041" w14:textId="77777777" w:rsidR="009B58E8" w:rsidRPr="009B58E8" w:rsidRDefault="009B58E8" w:rsidP="001F685B">
            <w:pPr>
              <w:tabs>
                <w:tab w:val="left" w:pos="709"/>
              </w:tabs>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Social</w:t>
            </w:r>
          </w:p>
        </w:tc>
        <w:tc>
          <w:tcPr>
            <w:tcW w:w="6611" w:type="dxa"/>
          </w:tcPr>
          <w:p w14:paraId="0A0B93A1" w14:textId="77777777" w:rsidR="009B58E8" w:rsidRPr="009B58E8" w:rsidRDefault="009B58E8" w:rsidP="009B58E8">
            <w:pPr>
              <w:tabs>
                <w:tab w:val="left" w:pos="709"/>
              </w:tabs>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 xml:space="preserve">Telkom Indonesia is leveraging IoT systems like </w:t>
            </w:r>
            <w:proofErr w:type="spellStart"/>
            <w:r w:rsidRPr="009B58E8">
              <w:rPr>
                <w:rFonts w:ascii="Times New Roman" w:hAnsi="Times New Roman" w:cs="Times New Roman"/>
                <w:bCs/>
                <w:color w:val="000000" w:themeColor="text1"/>
                <w:sz w:val="24"/>
                <w:szCs w:val="24"/>
              </w:rPr>
              <w:t>IndiCar</w:t>
            </w:r>
            <w:proofErr w:type="spellEnd"/>
            <w:r w:rsidRPr="009B58E8">
              <w:rPr>
                <w:rFonts w:ascii="Times New Roman" w:hAnsi="Times New Roman" w:cs="Times New Roman"/>
                <w:bCs/>
                <w:color w:val="000000" w:themeColor="text1"/>
                <w:sz w:val="24"/>
                <w:szCs w:val="24"/>
              </w:rPr>
              <w:t xml:space="preserve"> to enhance user experiences and strengthen its brand image. With a high reliance on private transport, the company is continuously innovating to provide efficient, convenient, and safe transport solutions. This not only increases customer satisfaction but also strengthens long-term relationships with consumers.</w:t>
            </w:r>
          </w:p>
        </w:tc>
      </w:tr>
      <w:tr w:rsidR="009B58E8" w:rsidRPr="009B58E8" w14:paraId="38CEE317" w14:textId="77777777" w:rsidTr="001F685B">
        <w:tc>
          <w:tcPr>
            <w:tcW w:w="2297" w:type="dxa"/>
            <w:vAlign w:val="center"/>
          </w:tcPr>
          <w:p w14:paraId="0B0061B7" w14:textId="77777777" w:rsidR="009B58E8" w:rsidRPr="009B58E8" w:rsidRDefault="009B58E8" w:rsidP="001F685B">
            <w:pPr>
              <w:tabs>
                <w:tab w:val="left" w:pos="709"/>
              </w:tabs>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lastRenderedPageBreak/>
              <w:t>Technological</w:t>
            </w:r>
          </w:p>
        </w:tc>
        <w:tc>
          <w:tcPr>
            <w:tcW w:w="6611" w:type="dxa"/>
          </w:tcPr>
          <w:p w14:paraId="28B16726" w14:textId="77777777" w:rsidR="009B58E8" w:rsidRPr="009B58E8" w:rsidRDefault="009B58E8" w:rsidP="009B58E8">
            <w:pPr>
              <w:tabs>
                <w:tab w:val="left" w:pos="709"/>
              </w:tabs>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Telkom Indonesia uses IoT-based transport services for real-time vehicle monitoring, safety, and maintenance. The technology enhances fleet management, operational efficiency, and security, while implementing a recurring cost model, making it the leader in technology-based transport solutions in Indonesia.</w:t>
            </w:r>
          </w:p>
        </w:tc>
      </w:tr>
      <w:tr w:rsidR="009B58E8" w:rsidRPr="009B58E8" w14:paraId="4C1A2FE6" w14:textId="77777777" w:rsidTr="001F685B">
        <w:tc>
          <w:tcPr>
            <w:tcW w:w="2297" w:type="dxa"/>
            <w:vAlign w:val="center"/>
          </w:tcPr>
          <w:p w14:paraId="73EAAB5D" w14:textId="77777777" w:rsidR="009B58E8" w:rsidRPr="009B58E8" w:rsidRDefault="009B58E8" w:rsidP="001F685B">
            <w:pPr>
              <w:tabs>
                <w:tab w:val="left" w:pos="709"/>
              </w:tabs>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Environment</w:t>
            </w:r>
          </w:p>
        </w:tc>
        <w:tc>
          <w:tcPr>
            <w:tcW w:w="6611" w:type="dxa"/>
          </w:tcPr>
          <w:p w14:paraId="0CBD0FF7" w14:textId="77777777" w:rsidR="009B58E8" w:rsidRPr="009B58E8" w:rsidRDefault="009B58E8" w:rsidP="009B58E8">
            <w:pPr>
              <w:tabs>
                <w:tab w:val="left" w:pos="709"/>
              </w:tabs>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 xml:space="preserve">Telkom Indonesia is utilizing IoT services like </w:t>
            </w:r>
            <w:proofErr w:type="spellStart"/>
            <w:r w:rsidRPr="009B58E8">
              <w:rPr>
                <w:rFonts w:ascii="Times New Roman" w:hAnsi="Times New Roman" w:cs="Times New Roman"/>
                <w:bCs/>
                <w:color w:val="000000" w:themeColor="text1"/>
                <w:sz w:val="24"/>
                <w:szCs w:val="24"/>
              </w:rPr>
              <w:t>IndiCar</w:t>
            </w:r>
            <w:proofErr w:type="spellEnd"/>
            <w:r w:rsidRPr="009B58E8">
              <w:rPr>
                <w:rFonts w:ascii="Times New Roman" w:hAnsi="Times New Roman" w:cs="Times New Roman"/>
                <w:bCs/>
                <w:color w:val="000000" w:themeColor="text1"/>
                <w:sz w:val="24"/>
                <w:szCs w:val="24"/>
              </w:rPr>
              <w:t xml:space="preserve"> to achieve Sustainable Development Goals by reducing environmental impacts and promoting green transportation practices. This efficient system reduces emissions, energy consumption, and travel costs, fostering sustainable economic growth.</w:t>
            </w:r>
          </w:p>
        </w:tc>
      </w:tr>
      <w:tr w:rsidR="009B58E8" w:rsidRPr="009B58E8" w14:paraId="0400460D" w14:textId="77777777" w:rsidTr="001F685B">
        <w:tc>
          <w:tcPr>
            <w:tcW w:w="2297" w:type="dxa"/>
            <w:vAlign w:val="center"/>
          </w:tcPr>
          <w:p w14:paraId="23AC7B19" w14:textId="77777777" w:rsidR="009B58E8" w:rsidRPr="009B58E8" w:rsidRDefault="009B58E8" w:rsidP="001F685B">
            <w:pPr>
              <w:tabs>
                <w:tab w:val="left" w:pos="709"/>
              </w:tabs>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Legal</w:t>
            </w:r>
          </w:p>
        </w:tc>
        <w:tc>
          <w:tcPr>
            <w:tcW w:w="6611" w:type="dxa"/>
          </w:tcPr>
          <w:p w14:paraId="2AFB412E" w14:textId="77777777" w:rsidR="009B58E8" w:rsidRPr="009B58E8" w:rsidRDefault="009B58E8" w:rsidP="009B58E8">
            <w:pPr>
              <w:tabs>
                <w:tab w:val="left" w:pos="709"/>
              </w:tabs>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Indonesia’s IoT adoption is bolstered by a robust regulatory framework, ensuring safe and reliable IoT networks. However, challenges like overlapping regulations between central and local governments hinder growth. Telkom Indonesia must advocate for a coordinated regulatory framework to support industry growth.</w:t>
            </w:r>
          </w:p>
        </w:tc>
      </w:tr>
    </w:tbl>
    <w:p w14:paraId="311D4064" w14:textId="7634836C" w:rsidR="009B58E8" w:rsidRPr="009B58E8" w:rsidRDefault="009B58E8" w:rsidP="001F685B">
      <w:pPr>
        <w:tabs>
          <w:tab w:val="left" w:pos="709"/>
        </w:tabs>
        <w:snapToGrid w:val="0"/>
        <w:spacing w:before="120" w:after="120" w:line="240" w:lineRule="auto"/>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Based on the results of the PESTEL analysis in Table 1, it shows that Telkom Indonesia strategically leverages political regulations, IoT technology, and social needs to strengthen its position in the transportation industry. Political factors such as Presidential Regulation 122/2016 support the development of IoT services in line with national development plans and the Sustainable Development Goals. From an economic perspective, the development of IoT technology enhances operational efficiency and national competitiveness. Socially, Telkom Indonesia enhances user experience and brand image through continuous innovation in transportation solutions. The IoT technology used not only enhances efficiency and security but also positions Telkom as a leader in technology-based transportation solutions in Indonesia. From an environmental perspective, this company contributes to reducing environmental impact through greener transportation practices. However, overlapping regulatory challenges demand advocacy for a more coordinated regulatory framework. The impact of this analysis provides a comprehensive picture of the dynamic business ecosystem and the importance of synergy among external factors in supporting industry growth.</w:t>
      </w:r>
    </w:p>
    <w:p w14:paraId="4A3C1CB0" w14:textId="77777777" w:rsidR="009B58E8" w:rsidRPr="009B58E8" w:rsidRDefault="009B58E8" w:rsidP="001F685B">
      <w:pPr>
        <w:snapToGrid w:val="0"/>
        <w:spacing w:before="120" w:after="120" w:line="240" w:lineRule="auto"/>
        <w:jc w:val="center"/>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Table 2. SWOT Analysis</w:t>
      </w:r>
    </w:p>
    <w:tbl>
      <w:tblPr>
        <w:tblStyle w:val="TableGrid"/>
        <w:tblW w:w="0" w:type="auto"/>
        <w:tblInd w:w="108" w:type="dxa"/>
        <w:tblLook w:val="04A0" w:firstRow="1" w:lastRow="0" w:firstColumn="1" w:lastColumn="0" w:noHBand="0" w:noVBand="1"/>
      </w:tblPr>
      <w:tblGrid>
        <w:gridCol w:w="2014"/>
        <w:gridCol w:w="6894"/>
      </w:tblGrid>
      <w:tr w:rsidR="009B58E8" w:rsidRPr="009B58E8" w14:paraId="230B8415" w14:textId="77777777" w:rsidTr="001F685B">
        <w:tc>
          <w:tcPr>
            <w:tcW w:w="2014" w:type="dxa"/>
            <w:vAlign w:val="center"/>
          </w:tcPr>
          <w:p w14:paraId="7F25560A" w14:textId="77777777" w:rsidR="009B58E8" w:rsidRPr="009B58E8" w:rsidRDefault="009B58E8" w:rsidP="001F685B">
            <w:pPr>
              <w:tabs>
                <w:tab w:val="left" w:pos="709"/>
              </w:tabs>
              <w:jc w:val="center"/>
              <w:rPr>
                <w:rFonts w:ascii="Times New Roman" w:hAnsi="Times New Roman" w:cs="Times New Roman"/>
                <w:b/>
                <w:bCs/>
                <w:color w:val="000000" w:themeColor="text1"/>
                <w:sz w:val="24"/>
                <w:szCs w:val="24"/>
              </w:rPr>
            </w:pPr>
            <w:r w:rsidRPr="009B58E8">
              <w:rPr>
                <w:rFonts w:ascii="Times New Roman" w:hAnsi="Times New Roman" w:cs="Times New Roman"/>
                <w:b/>
                <w:bCs/>
                <w:color w:val="000000" w:themeColor="text1"/>
                <w:sz w:val="24"/>
                <w:szCs w:val="24"/>
              </w:rPr>
              <w:t>SWOT Indicator</w:t>
            </w:r>
          </w:p>
        </w:tc>
        <w:tc>
          <w:tcPr>
            <w:tcW w:w="6894" w:type="dxa"/>
          </w:tcPr>
          <w:p w14:paraId="5662B01F" w14:textId="77777777" w:rsidR="009B58E8" w:rsidRPr="009B58E8" w:rsidRDefault="009B58E8" w:rsidP="009B58E8">
            <w:pPr>
              <w:tabs>
                <w:tab w:val="left" w:pos="709"/>
              </w:tabs>
              <w:jc w:val="center"/>
              <w:rPr>
                <w:rFonts w:ascii="Times New Roman" w:hAnsi="Times New Roman" w:cs="Times New Roman"/>
                <w:b/>
                <w:bCs/>
                <w:color w:val="000000" w:themeColor="text1"/>
                <w:sz w:val="24"/>
                <w:szCs w:val="24"/>
              </w:rPr>
            </w:pPr>
            <w:r w:rsidRPr="009B58E8">
              <w:rPr>
                <w:rFonts w:ascii="Times New Roman" w:hAnsi="Times New Roman" w:cs="Times New Roman"/>
                <w:b/>
                <w:bCs/>
                <w:color w:val="000000" w:themeColor="text1"/>
                <w:sz w:val="24"/>
                <w:szCs w:val="24"/>
              </w:rPr>
              <w:t>Findings</w:t>
            </w:r>
          </w:p>
        </w:tc>
      </w:tr>
      <w:tr w:rsidR="009B58E8" w:rsidRPr="009B58E8" w14:paraId="020E15E2" w14:textId="77777777" w:rsidTr="001F685B">
        <w:tc>
          <w:tcPr>
            <w:tcW w:w="2014" w:type="dxa"/>
            <w:vAlign w:val="center"/>
          </w:tcPr>
          <w:p w14:paraId="0BD6E5E9" w14:textId="28A4D344" w:rsidR="009B58E8" w:rsidRPr="009B58E8" w:rsidRDefault="009B58E8" w:rsidP="001F685B">
            <w:pPr>
              <w:tabs>
                <w:tab w:val="left" w:pos="709"/>
              </w:tabs>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Strengths</w:t>
            </w:r>
          </w:p>
        </w:tc>
        <w:tc>
          <w:tcPr>
            <w:tcW w:w="6894" w:type="dxa"/>
          </w:tcPr>
          <w:p w14:paraId="4E3ECBAC" w14:textId="77777777" w:rsidR="009B58E8" w:rsidRPr="009B58E8" w:rsidRDefault="009B58E8" w:rsidP="009B58E8">
            <w:pPr>
              <w:pStyle w:val="ListParagraph"/>
              <w:numPr>
                <w:ilvl w:val="0"/>
                <w:numId w:val="10"/>
              </w:numPr>
              <w:ind w:left="316"/>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Infrastructure readiness: Telkom Indonesia has a strong infrastructure that plays a key role in supporting the implementation of IoT.</w:t>
            </w:r>
          </w:p>
          <w:p w14:paraId="5A186FE2" w14:textId="77777777" w:rsidR="009B58E8" w:rsidRPr="009B58E8" w:rsidRDefault="009B58E8" w:rsidP="009B58E8">
            <w:pPr>
              <w:pStyle w:val="ListParagraph"/>
              <w:numPr>
                <w:ilvl w:val="0"/>
                <w:numId w:val="10"/>
              </w:numPr>
              <w:ind w:left="316"/>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Strong customer base: With a wide customer base across Indonesia, Telkom has a competitive advantage that enables broader market penetration and faster IoT adoption across various sectors, especially transportation.</w:t>
            </w:r>
          </w:p>
          <w:p w14:paraId="7689083D" w14:textId="77777777" w:rsidR="009B58E8" w:rsidRPr="009B58E8" w:rsidRDefault="009B58E8" w:rsidP="009B58E8">
            <w:pPr>
              <w:pStyle w:val="ListParagraph"/>
              <w:numPr>
                <w:ilvl w:val="0"/>
                <w:numId w:val="10"/>
              </w:numPr>
              <w:ind w:left="316"/>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Quality SDM: Telkom invests in employee development to enhance skills in IoT technology, which is key to the success of the IoT ecosystem.</w:t>
            </w:r>
          </w:p>
        </w:tc>
      </w:tr>
      <w:tr w:rsidR="009B58E8" w:rsidRPr="009B58E8" w14:paraId="3E5BF948" w14:textId="77777777" w:rsidTr="001F685B">
        <w:tc>
          <w:tcPr>
            <w:tcW w:w="2014" w:type="dxa"/>
            <w:vAlign w:val="center"/>
          </w:tcPr>
          <w:p w14:paraId="716A2D2E" w14:textId="77777777" w:rsidR="009B58E8" w:rsidRPr="009B58E8" w:rsidRDefault="009B58E8" w:rsidP="001F685B">
            <w:pPr>
              <w:tabs>
                <w:tab w:val="left" w:pos="709"/>
              </w:tabs>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Weakness</w:t>
            </w:r>
          </w:p>
        </w:tc>
        <w:tc>
          <w:tcPr>
            <w:tcW w:w="6894" w:type="dxa"/>
          </w:tcPr>
          <w:p w14:paraId="115432C1" w14:textId="77777777" w:rsidR="009B58E8" w:rsidRPr="009B58E8" w:rsidRDefault="009B58E8" w:rsidP="009B58E8">
            <w:pPr>
              <w:pStyle w:val="ListParagraph"/>
              <w:numPr>
                <w:ilvl w:val="0"/>
                <w:numId w:val="11"/>
              </w:numPr>
              <w:ind w:left="316"/>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Dependency on Device Providers: Telkom relies on foreign IoT device providers, which could pose a risk to the reliability and security of its services.</w:t>
            </w:r>
          </w:p>
          <w:p w14:paraId="662BD606" w14:textId="77777777" w:rsidR="009B58E8" w:rsidRPr="009B58E8" w:rsidRDefault="009B58E8" w:rsidP="009B58E8">
            <w:pPr>
              <w:pStyle w:val="ListParagraph"/>
              <w:numPr>
                <w:ilvl w:val="0"/>
                <w:numId w:val="11"/>
              </w:numPr>
              <w:ind w:left="316"/>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Talent Gap: Indonesia lacks talent with specialized qualifications in the field of IoT, which can hinder the growth and innovation of IoT businesses.</w:t>
            </w:r>
          </w:p>
          <w:p w14:paraId="3ABEA20F" w14:textId="77777777" w:rsidR="009B58E8" w:rsidRPr="009B58E8" w:rsidRDefault="009B58E8" w:rsidP="009B58E8">
            <w:pPr>
              <w:pStyle w:val="ListParagraph"/>
              <w:numPr>
                <w:ilvl w:val="0"/>
                <w:numId w:val="11"/>
              </w:numPr>
              <w:ind w:left="316"/>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lastRenderedPageBreak/>
              <w:t>Human Resource Challenges in a Dynamic Market: Although Telkom has strong human resources, the dynamics of the market and rapidly changing technology pose challenges in preparing human resources that are truly ready to face the developments in IoT.</w:t>
            </w:r>
          </w:p>
        </w:tc>
      </w:tr>
      <w:tr w:rsidR="009B58E8" w:rsidRPr="009B58E8" w14:paraId="65677107" w14:textId="77777777" w:rsidTr="001F685B">
        <w:tc>
          <w:tcPr>
            <w:tcW w:w="2014" w:type="dxa"/>
            <w:vAlign w:val="center"/>
          </w:tcPr>
          <w:p w14:paraId="69772535" w14:textId="77777777" w:rsidR="009B58E8" w:rsidRPr="009B58E8" w:rsidRDefault="009B58E8" w:rsidP="001F685B">
            <w:pPr>
              <w:tabs>
                <w:tab w:val="left" w:pos="709"/>
              </w:tabs>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lastRenderedPageBreak/>
              <w:t>Opportunity</w:t>
            </w:r>
          </w:p>
        </w:tc>
        <w:tc>
          <w:tcPr>
            <w:tcW w:w="6894" w:type="dxa"/>
          </w:tcPr>
          <w:p w14:paraId="1ADB4B3B" w14:textId="77777777" w:rsidR="009B58E8" w:rsidRPr="009B58E8" w:rsidRDefault="009B58E8" w:rsidP="009B58E8">
            <w:pPr>
              <w:pStyle w:val="ListParagraph"/>
              <w:numPr>
                <w:ilvl w:val="0"/>
                <w:numId w:val="12"/>
              </w:numPr>
              <w:ind w:left="316"/>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Government Support: Government policies that support the development of IoT provide a significant boost to the growth of this industry.</w:t>
            </w:r>
          </w:p>
          <w:p w14:paraId="69E1DC44" w14:textId="77777777" w:rsidR="009B58E8" w:rsidRPr="009B58E8" w:rsidRDefault="009B58E8" w:rsidP="009B58E8">
            <w:pPr>
              <w:pStyle w:val="ListParagraph"/>
              <w:numPr>
                <w:ilvl w:val="0"/>
                <w:numId w:val="12"/>
              </w:numPr>
              <w:ind w:left="316"/>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Opportunities in the Transportation Industry: The transportation industry shows a high readiness to adopt IoT, providing Telkom with significant opportunities to expand its business in this sector.</w:t>
            </w:r>
          </w:p>
          <w:p w14:paraId="18CC01A2" w14:textId="77777777" w:rsidR="009B58E8" w:rsidRPr="009B58E8" w:rsidRDefault="009B58E8" w:rsidP="009B58E8">
            <w:pPr>
              <w:pStyle w:val="ListParagraph"/>
              <w:numPr>
                <w:ilvl w:val="0"/>
                <w:numId w:val="12"/>
              </w:numPr>
              <w:ind w:left="316"/>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Management Commitment: Telkom has a strong commitment to implementing IoT strategies, particularly in the transportation sector, which can enhance operational efficiency, security, and customer experience.</w:t>
            </w:r>
          </w:p>
        </w:tc>
      </w:tr>
      <w:tr w:rsidR="009B58E8" w:rsidRPr="009B58E8" w14:paraId="524522AE" w14:textId="77777777" w:rsidTr="001F685B">
        <w:tc>
          <w:tcPr>
            <w:tcW w:w="2014" w:type="dxa"/>
            <w:vAlign w:val="center"/>
          </w:tcPr>
          <w:p w14:paraId="4C67F6D4" w14:textId="77777777" w:rsidR="009B58E8" w:rsidRPr="009B58E8" w:rsidRDefault="009B58E8" w:rsidP="001F685B">
            <w:pPr>
              <w:tabs>
                <w:tab w:val="left" w:pos="709"/>
              </w:tabs>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Threats</w:t>
            </w:r>
          </w:p>
        </w:tc>
        <w:tc>
          <w:tcPr>
            <w:tcW w:w="6894" w:type="dxa"/>
          </w:tcPr>
          <w:p w14:paraId="4B750253" w14:textId="77777777" w:rsidR="009B58E8" w:rsidRPr="009B58E8" w:rsidRDefault="009B58E8" w:rsidP="009B58E8">
            <w:pPr>
              <w:pStyle w:val="ListParagraph"/>
              <w:numPr>
                <w:ilvl w:val="0"/>
                <w:numId w:val="12"/>
              </w:numPr>
              <w:ind w:left="316"/>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Dependency on Partners: Dependence on device provider partners can lead Telkom to lose control over the supply chain and face reputational risks if issues arise with the devices.</w:t>
            </w:r>
          </w:p>
          <w:p w14:paraId="62E705CA" w14:textId="77777777" w:rsidR="009B58E8" w:rsidRPr="009B58E8" w:rsidRDefault="009B58E8" w:rsidP="009B58E8">
            <w:pPr>
              <w:pStyle w:val="ListParagraph"/>
              <w:numPr>
                <w:ilvl w:val="0"/>
                <w:numId w:val="12"/>
              </w:numPr>
              <w:ind w:left="316"/>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Data Security and Privacy: Threats to data security and privacy have become a crucial issue that must be addressed properly to maintain customer trust.</w:t>
            </w:r>
          </w:p>
          <w:p w14:paraId="53D5F5D7" w14:textId="77777777" w:rsidR="009B58E8" w:rsidRPr="009B58E8" w:rsidRDefault="009B58E8" w:rsidP="009B58E8">
            <w:pPr>
              <w:pStyle w:val="ListParagraph"/>
              <w:numPr>
                <w:ilvl w:val="0"/>
                <w:numId w:val="12"/>
              </w:numPr>
              <w:ind w:left="316"/>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Integration Complexity: Complex integration in IoT services, such as fleet management, requires careful policies to ensure optimal performance and service consistency, especially when facing challenges related to pricing and solution flexibility.</w:t>
            </w:r>
          </w:p>
        </w:tc>
      </w:tr>
    </w:tbl>
    <w:p w14:paraId="3F5DF3EC" w14:textId="1B8C5DE3" w:rsidR="009B58E8" w:rsidRPr="009B58E8" w:rsidRDefault="009B58E8" w:rsidP="001F685B">
      <w:pPr>
        <w:snapToGrid w:val="0"/>
        <w:spacing w:before="120" w:after="120" w:line="240" w:lineRule="auto"/>
        <w:jc w:val="both"/>
        <w:rPr>
          <w:rFonts w:ascii="Times New Roman" w:hAnsi="Times New Roman" w:cs="Times New Roman"/>
          <w:color w:val="000000" w:themeColor="text1"/>
          <w:sz w:val="24"/>
          <w:szCs w:val="24"/>
        </w:rPr>
      </w:pPr>
      <w:r w:rsidRPr="009B58E8">
        <w:rPr>
          <w:rFonts w:ascii="Times New Roman" w:hAnsi="Times New Roman" w:cs="Times New Roman"/>
          <w:bCs/>
          <w:color w:val="000000" w:themeColor="text1"/>
          <w:sz w:val="24"/>
          <w:szCs w:val="24"/>
        </w:rPr>
        <w:t xml:space="preserve">Based on the results of the SWOT analysis in Table 2, </w:t>
      </w:r>
      <w:r w:rsidRPr="009B58E8">
        <w:rPr>
          <w:rFonts w:ascii="Times New Roman" w:hAnsi="Times New Roman" w:cs="Times New Roman"/>
          <w:color w:val="000000" w:themeColor="text1"/>
          <w:sz w:val="24"/>
          <w:szCs w:val="24"/>
        </w:rPr>
        <w:t xml:space="preserve">one of the main strengths is the provision of strong infrastructure, where Telkom Indonesia has a wide and reliable network capacity to support the implementation of IoT in the transportation sector. This good infrastructure enables fast and secure data transmission, which is an essential element in IoT-based transportation operations </w:t>
      </w:r>
      <w:r w:rsidRPr="009B58E8">
        <w:rPr>
          <w:rFonts w:ascii="Times New Roman" w:hAnsi="Times New Roman" w:cs="Times New Roman"/>
          <w:color w:val="000000" w:themeColor="text1"/>
          <w:sz w:val="24"/>
          <w:szCs w:val="24"/>
        </w:rPr>
        <w:fldChar w:fldCharType="begin" w:fldLock="1"/>
      </w:r>
      <w:r w:rsidRPr="009B58E8">
        <w:rPr>
          <w:rFonts w:ascii="Times New Roman" w:hAnsi="Times New Roman" w:cs="Times New Roman"/>
          <w:color w:val="000000" w:themeColor="text1"/>
          <w:sz w:val="24"/>
          <w:szCs w:val="24"/>
        </w:rPr>
        <w:instrText>ADDIN CSL_CITATION {"citationItems":[{"id":"ITEM-1","itemData":{"author":[{"dropping-particle":"","family":"Wortmann","given":"Fabio","non-dropping-particle":"","parse-names":false,"suffix":""},{"dropping-particle":"","family":"Kämmerling","given":"Sina","non-dropping-particle":"","parse-names":false,"suffix":""},{"dropping-particle":"","family":"Ellermann","given":"Kai","non-dropping-particle":"","parse-names":false,"suffix":""},{"dropping-particle":"","family":"Kühn","given":"Arno","non-dropping-particle":"","parse-names":false,"suffix":""},{"dropping-particle":"","family":"Plass","given":"Christoph","non-dropping-particle":"","parse-names":false,"suffix":""},{"dropping-particle":"","family":"Dumitrescu","given":"Roman","non-dropping-particle":"","parse-names":false,"suffix":""}],"container-title":"Stuttgart Symposium for Product Development 2021","id":"ITEM-1","issued":{"date-parts":[["2021"]]},"page":"1-12","title":"Development and evaluation of IoT-based platform business models in business-to-business","type":"paper-conference"},"uris":["http://www.mendeley.com/documents/?uuid=ca774bbb-fc67-41c3-bc7d-097918d83db3"]},{"id":"ITEM-2","itemData":{"DOI":"10.61185/smij.2023.22103","ISSN":"3005-3609","abstract":"The advent of the Internet of Things (IoT) has ushered in a transformative era in supply chain management, revolutionizing the way organizations monitor, analyze, and optimize their operations. This comprehensive survey paper explores the multifaceted landscape of IoT applications in supply chain management, shedding light on the challenges, opportunities, and best practices that define this technological paradigm shift. The paper delves into the fundamental principles of IoT, elucidating how sensor-laden devices, real-time data streams, and advanced analytics empower organizations with unprecedented visibility and control across their supply chains. It systematically examines IoT applications in key supply chain domains, including inventory management, asset tracking, cold chain monitoring, predictive maintenance, route optimization, and waste reduction. Each application is scrutinized for its role in enhancing efficiency, reducing costs, ensuring product quality, and advancing sustainability. Furthermore, this paper addresses the challenges inherent in implementing IoT within supply chains, such as data security, interoperability, scalability, and regulatory compliance. It underscores the importance of change management and workforce development in harnessing the full potential of IoT and presents a roadmap for best practices to overcome these obstacles. The paper culminates in a forward-looking exploration of future trends and innovations in the IoT-driven supply chain landscape. By offering a comprehensive overview of IoT's role in supply chain management, this paper equips practitioners, researchers, and decision-makers with a holistic understanding of the transformative power of IoT, empowering them to navigate the complexities, seize opportunities, and implement best practices that will define the future of supply chain management.","author":[{"dropping-particle":"","family":"Sallam","given":"Karam","non-dropping-particle":"","parse-names":false,"suffix":""},{"dropping-particle":"","family":"Mohamed","given":"Mona","non-dropping-particle":"","parse-names":false,"suffix":""},{"dropping-particle":"","family":"Wagdy Mohamed","given":"Ali","non-dropping-particle":"","parse-names":false,"suffix":""}],"container-title":"Sustainable Machine Intelligence Journal","id":"ITEM-2","issued":{"date-parts":[["2023"]]},"page":"1-32","title":"Internet of Things (IoT) in Supply Chain Management: Challenges, Opportunities, and Best Practices","type":"article-journal","volume":"2"},"uris":["http://www.mendeley.com/documents/?uuid=054976b9-fd1d-46da-a48c-6336fc5f7a7b"]}],"mendeley":{"formattedCitation":"(Sallam et al., 2023; Wortmann et al., 2021)","plainTextFormattedCitation":"(Sallam et al., 2023; Wortmann et al., 2021)","previouslyFormattedCitation":"(Sallam et al., 2023; Wortmann et al., 2021)"},"properties":{"noteIndex":0},"schema":"https://github.com/citation-style-language/schema/raw/master/csl-citation.json"}</w:instrText>
      </w:r>
      <w:r w:rsidRPr="009B58E8">
        <w:rPr>
          <w:rFonts w:ascii="Times New Roman" w:hAnsi="Times New Roman" w:cs="Times New Roman"/>
          <w:color w:val="000000" w:themeColor="text1"/>
          <w:sz w:val="24"/>
          <w:szCs w:val="24"/>
        </w:rPr>
        <w:fldChar w:fldCharType="separate"/>
      </w:r>
      <w:r w:rsidRPr="009B58E8">
        <w:rPr>
          <w:rFonts w:ascii="Times New Roman" w:hAnsi="Times New Roman" w:cs="Times New Roman"/>
          <w:noProof/>
          <w:color w:val="000000" w:themeColor="text1"/>
          <w:sz w:val="24"/>
          <w:szCs w:val="24"/>
        </w:rPr>
        <w:t>(Sallam et al., 2023; Wortmann et al., 2021)</w:t>
      </w:r>
      <w:r w:rsidRPr="009B58E8">
        <w:rPr>
          <w:rFonts w:ascii="Times New Roman" w:hAnsi="Times New Roman" w:cs="Times New Roman"/>
          <w:color w:val="000000" w:themeColor="text1"/>
          <w:sz w:val="24"/>
          <w:szCs w:val="24"/>
        </w:rPr>
        <w:fldChar w:fldCharType="end"/>
      </w:r>
      <w:r w:rsidRPr="009B58E8">
        <w:rPr>
          <w:rFonts w:ascii="Times New Roman" w:hAnsi="Times New Roman" w:cs="Times New Roman"/>
          <w:color w:val="000000" w:themeColor="text1"/>
          <w:sz w:val="24"/>
          <w:szCs w:val="24"/>
        </w:rPr>
        <w:t xml:space="preserve">. The aspect of human resources is also an important factor in the sustainable development of IoT </w:t>
      </w:r>
      <w:r w:rsidRPr="009B58E8">
        <w:rPr>
          <w:rFonts w:ascii="Times New Roman" w:hAnsi="Times New Roman" w:cs="Times New Roman"/>
          <w:color w:val="000000" w:themeColor="text1"/>
          <w:sz w:val="24"/>
          <w:szCs w:val="24"/>
        </w:rPr>
        <w:fldChar w:fldCharType="begin" w:fldLock="1"/>
      </w:r>
      <w:r w:rsidRPr="009B58E8">
        <w:rPr>
          <w:rFonts w:ascii="Times New Roman" w:hAnsi="Times New Roman" w:cs="Times New Roman"/>
          <w:color w:val="000000" w:themeColor="text1"/>
          <w:sz w:val="24"/>
          <w:szCs w:val="24"/>
        </w:rPr>
        <w:instrText>ADDIN CSL_CITATION {"citationItems":[{"id":"ITEM-1","itemData":{"DOI":"10.48550/arXiv.2201.01927","author":[{"dropping-particle":"","family":"Fayed","given":"Mahmoud S.","non-dropping-particle":"","parse-names":false,"suffix":""}],"container-title":"Computer Science: Cryptography and Security","id":"ITEM-1","issued":{"date-parts":[["2022"]]},"title":"Network Generations and the Security Challenge in IoT Applications","type":"report"},"uris":["http://www.mendeley.com/documents/?uuid=e2193a89-86b2-41cf-bec6-ff7b321faeee"]}],"mendeley":{"formattedCitation":"(Fayed, 2022)","plainTextFormattedCitation":"(Fayed, 2022)","previouslyFormattedCitation":"(Fayed, 2022)"},"properties":{"noteIndex":0},"schema":"https://github.com/citation-style-language/schema/raw/master/csl-citation.json"}</w:instrText>
      </w:r>
      <w:r w:rsidRPr="009B58E8">
        <w:rPr>
          <w:rFonts w:ascii="Times New Roman" w:hAnsi="Times New Roman" w:cs="Times New Roman"/>
          <w:color w:val="000000" w:themeColor="text1"/>
          <w:sz w:val="24"/>
          <w:szCs w:val="24"/>
        </w:rPr>
        <w:fldChar w:fldCharType="separate"/>
      </w:r>
      <w:r w:rsidRPr="009B58E8">
        <w:rPr>
          <w:rFonts w:ascii="Times New Roman" w:hAnsi="Times New Roman" w:cs="Times New Roman"/>
          <w:noProof/>
          <w:color w:val="000000" w:themeColor="text1"/>
          <w:sz w:val="24"/>
          <w:szCs w:val="24"/>
        </w:rPr>
        <w:t>(Fayed, 2022)</w:t>
      </w:r>
      <w:r w:rsidRPr="009B58E8">
        <w:rPr>
          <w:rFonts w:ascii="Times New Roman" w:hAnsi="Times New Roman" w:cs="Times New Roman"/>
          <w:color w:val="000000" w:themeColor="text1"/>
          <w:sz w:val="24"/>
          <w:szCs w:val="24"/>
        </w:rPr>
        <w:fldChar w:fldCharType="end"/>
      </w:r>
      <w:r w:rsidRPr="009B58E8">
        <w:rPr>
          <w:rFonts w:ascii="Times New Roman" w:hAnsi="Times New Roman" w:cs="Times New Roman"/>
          <w:color w:val="000000" w:themeColor="text1"/>
          <w:sz w:val="24"/>
          <w:szCs w:val="24"/>
        </w:rPr>
        <w:t xml:space="preserve">. Telkom Indonesia has a professional team that is competent in information technology and telecommunications, capable of effectively developing and managing IoT solutions. However, one of the identified weaknesses is the need to continuously enhance the skills of the workforce, considering the rapid technological advancements in the field of IoT. </w:t>
      </w:r>
    </w:p>
    <w:p w14:paraId="126374E9" w14:textId="77777777" w:rsidR="009B58E8" w:rsidRPr="009B58E8" w:rsidRDefault="009B58E8" w:rsidP="001F685B">
      <w:pPr>
        <w:snapToGrid w:val="0"/>
        <w:spacing w:before="120" w:after="120" w:line="240" w:lineRule="auto"/>
        <w:jc w:val="both"/>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 xml:space="preserve">In terms of management systems, Telkom Indonesia has adopted a structured and data-driven management approach, enabling better and more efficient decision-making in the management of IoT projects. However, challenges arise from the complexity of system integration, which requires coordination across departments and with external stakeholders. Policy aspects also present significant opportunities, where government regulations that support innovation and digital technology provide a solid legal foundation for the development of IoT in Indonesia. However, threats may arise from future regulatory uncertainties or policy changes that could impact investments and the development of IoT infrastructure </w:t>
      </w:r>
      <w:r w:rsidRPr="009B58E8">
        <w:rPr>
          <w:rFonts w:ascii="Times New Roman" w:hAnsi="Times New Roman" w:cs="Times New Roman"/>
          <w:color w:val="000000" w:themeColor="text1"/>
          <w:sz w:val="24"/>
          <w:szCs w:val="24"/>
        </w:rPr>
        <w:fldChar w:fldCharType="begin" w:fldLock="1"/>
      </w:r>
      <w:r w:rsidRPr="009B58E8">
        <w:rPr>
          <w:rFonts w:ascii="Times New Roman" w:hAnsi="Times New Roman" w:cs="Times New Roman"/>
          <w:color w:val="000000" w:themeColor="text1"/>
          <w:sz w:val="24"/>
          <w:szCs w:val="24"/>
        </w:rPr>
        <w:instrText>ADDIN CSL_CITATION {"citationItems":[{"id":"ITEM-1","itemData":{"DOI":"10.1186/2192-1121-1-9","abstract":"In this short text the authors claim that the challenges posed by Internet of Things cannot be managed with the current policy tools and research programs, as these are too slow and too instrumental. These challenges are: a) global cooperation and standards, b) new business models and new currencies, c) ethics, control society, surveillance, consent and data driven life, and d) technological challenges driven by the need to save energy. These lead up to the urgency to co-design decision making formats that aim at finding the perfect balance between top down planning and bottom up innovation.","author":[{"dropping-particle":"","family":"Kranenburg","given":"Rob","non-dropping-particle":"van","parse-names":false,"suffix":""},{"dropping-particle":"","family":"Bassi","given":"Alex","non-dropping-particle":"","parse-names":false,"suffix":""}],"container-title":"Communications in Mobile Computing","id":"ITEM-1","issue":"1","issued":{"date-parts":[["2012"]]},"page":"1-5","title":"IoT Challenges","type":"article-journal","volume":"1"},"uris":["http://www.mendeley.com/documents/?uuid=c5397292-739b-44a0-99cb-03cead56dd13"]},{"id":"ITEM-2","itemData":{"DOI":"10.1108/DPRG-04-2018-0017","ISSN":"23985038","abstract":"Purpose: The purpose of this study is to highlight the importance of Internet of Things (IoT) in India. The purpose also includes providing insights regarding policy framing for IoTs with a focus on regulation and governance. Design/methodology/approach: A qualitative approach has been taken here for understanding the issues of IoT policy for India so far as regulations and governance are concerned. Findings: This study highlights that the draft IoT policy of India, 2015 is to be improved. Attention is to be focused on regulation and governance for addressing security and privacy issues among other issues. For proper enablement of IoT technology, arrangements of funds are essential. Research limitations/implications: IoT-related technologies in India have immense potential for the industries. This study implies the importance of security and privacy issues. If these issues are properly addressed, the industries will flourish further. Practical implications: The study provides insights covering how usage of IoT technology would help the industry to grow up, how research and development organizations would be able to strengthen IoT technology for further development and to what extent it will improve the human daily activities. Social implications: IoT would influence lives of millions of people of India. IoT-related policies would have huge social implication in terms of human–device interactions and communications. This research is a contemporary study on the implication of IoT policy toward the future growth of IoT-enabled devices in India. Originality/value: The Government of India is expected to frame a comprehensive IoT policy with the help of draft IoT policy of 2015. This paper has taken a unique attempt to provide effective inputs to develop a comprehensive IoT policy for India.","author":[{"dropping-particle":"","family":"Chatterjee","given":"Sheshadri","non-dropping-particle":"","parse-names":false,"suffix":""},{"dropping-particle":"","family":"Kar","given":"Arpan Kumar","non-dropping-particle":"","parse-names":false,"suffix":""}],"container-title":"Digital Policy, Regulation and Governance ","id":"ITEM-2","issue":"5","issued":{"date-parts":[["2018"]]},"page":"399-412","title":"Regulation and governance of the Internet of Things in India","type":"article-journal","volume":"20"},"uris":["http://www.mendeley.com/documents/?uuid=58ca67c2-4ccd-41bf-86b6-c21cfe99c090"]}],"mendeley":{"formattedCitation":"(Chatterjee &amp; Kar, 2018; van Kranenburg &amp; Bassi, 2012)","plainTextFormattedCitation":"(Chatterjee &amp; Kar, 2018; van Kranenburg &amp; Bassi, 2012)","previouslyFormattedCitation":"(Chatterjee &amp; Kar, 2018; van Kranenburg &amp; Bassi, 2012)"},"properties":{"noteIndex":0},"schema":"https://github.com/citation-style-language/schema/raw/master/csl-citation.json"}</w:instrText>
      </w:r>
      <w:r w:rsidRPr="009B58E8">
        <w:rPr>
          <w:rFonts w:ascii="Times New Roman" w:hAnsi="Times New Roman" w:cs="Times New Roman"/>
          <w:color w:val="000000" w:themeColor="text1"/>
          <w:sz w:val="24"/>
          <w:szCs w:val="24"/>
        </w:rPr>
        <w:fldChar w:fldCharType="separate"/>
      </w:r>
      <w:r w:rsidRPr="009B58E8">
        <w:rPr>
          <w:rFonts w:ascii="Times New Roman" w:hAnsi="Times New Roman" w:cs="Times New Roman"/>
          <w:noProof/>
          <w:color w:val="000000" w:themeColor="text1"/>
          <w:sz w:val="24"/>
          <w:szCs w:val="24"/>
        </w:rPr>
        <w:t>(Chatterjee &amp; Kar, 2018; van Kranenburg &amp; Bassi, 2012)</w:t>
      </w:r>
      <w:r w:rsidRPr="009B58E8">
        <w:rPr>
          <w:rFonts w:ascii="Times New Roman" w:hAnsi="Times New Roman" w:cs="Times New Roman"/>
          <w:color w:val="000000" w:themeColor="text1"/>
          <w:sz w:val="24"/>
          <w:szCs w:val="24"/>
        </w:rPr>
        <w:fldChar w:fldCharType="end"/>
      </w:r>
      <w:r w:rsidRPr="009B58E8">
        <w:rPr>
          <w:rFonts w:ascii="Times New Roman" w:hAnsi="Times New Roman" w:cs="Times New Roman"/>
          <w:color w:val="000000" w:themeColor="text1"/>
          <w:sz w:val="24"/>
          <w:szCs w:val="24"/>
        </w:rPr>
        <w:t>.</w:t>
      </w:r>
      <w:r w:rsidRPr="009B58E8">
        <w:rPr>
          <w:rFonts w:ascii="Times New Roman" w:hAnsi="Times New Roman" w:cs="Times New Roman"/>
          <w:bCs/>
          <w:color w:val="000000" w:themeColor="text1"/>
          <w:sz w:val="24"/>
          <w:szCs w:val="24"/>
        </w:rPr>
        <w:t xml:space="preserve"> </w:t>
      </w:r>
      <w:r w:rsidRPr="009B58E8">
        <w:rPr>
          <w:rFonts w:ascii="Times New Roman" w:hAnsi="Times New Roman" w:cs="Times New Roman"/>
          <w:color w:val="000000" w:themeColor="text1"/>
          <w:sz w:val="24"/>
          <w:szCs w:val="24"/>
        </w:rPr>
        <w:t xml:space="preserve">The importance of synergy between internal strengths and external opportunities in IoT development strategies, as well as the need for mitigation of weaknesses and threats to achieve long-term success. This approach refers to how business ecosystems should formulate strategic management that emphasizes adaptation and agility in facing market and technological dynamics </w:t>
      </w:r>
      <w:r w:rsidRPr="009B58E8">
        <w:rPr>
          <w:rFonts w:ascii="Times New Roman" w:hAnsi="Times New Roman" w:cs="Times New Roman"/>
          <w:color w:val="000000" w:themeColor="text1"/>
          <w:sz w:val="24"/>
          <w:szCs w:val="24"/>
        </w:rPr>
        <w:fldChar w:fldCharType="begin" w:fldLock="1"/>
      </w:r>
      <w:r w:rsidRPr="009B58E8">
        <w:rPr>
          <w:rFonts w:ascii="Times New Roman" w:hAnsi="Times New Roman" w:cs="Times New Roman"/>
          <w:color w:val="000000" w:themeColor="text1"/>
          <w:sz w:val="24"/>
          <w:szCs w:val="24"/>
        </w:rPr>
        <w:instrText>ADDIN CSL_CITATION {"citationItems":[{"id":"ITEM-1","itemData":{"DOI":"10.1002/smj.181","ISSN":"01432095","abstract":"This study examined the influence of internal capabilities and external networks on firm performance by using data from 137 Korean technological start-up companies. Internal capabilities were operationalized by entrepreneurial orientation, technological capabilities, and financial resources invested during the development period. External networks were captured by partnership- and sponsorship-based linkages. Partnership-based linkages were measured by strategic alliances with other enterprises and venture capitalists, collaboration with universities or research institutes, and participation in venture associations. Sponsorship-based linkages consisted of financial and nonfinancial support from commercial banks and the Korean government. Sales growth indicated the start-up's performance. Regression results showed that the three indicators of internal capabilities are important predictors of a start-up's performance. Among external networks, only the linkages to venture capital companies predicted the start-up's performance. Several interaction terms between internal capabilities and partnership-based linkages have a statistically significant influence on performance. Sponsorship-based linkages do not have individual effects on performance but linkage with financial institutions has a multiplicative effect with technological capabilities and financial resources invested on a start-up's performance. Implications and directions for future research were discussed. Copyright © 2001 John Wiley &amp; Sons, Ltd.","author":[{"dropping-particle":"","family":"Lee","given":"Choonwoo","non-dropping-particle":"","parse-names":false,"suffix":""},{"dropping-particle":"","family":"Lee","given":"Kyungmook","non-dropping-particle":"","parse-names":false,"suffix":""},{"dropping-particle":"","family":"Pennings","given":"Johannes M","non-dropping-particle":"","parse-names":false,"suffix":""}],"container-title":"Strategic Management Journal","id":"ITEM-1","issue":"6-7","issued":{"date-parts":[["2001"]]},"page":"615-640","title":"Internal capabilities, external networks, and performance: A study on technology-based ventures","type":"article-journal","volume":"22"},"uris":["http://www.mendeley.com/documents/?uuid=dc598a61-41b7-4c18-90fc-e1b86454e316"]}],"mendeley":{"formattedCitation":"(Lee et al., 2001)","manualFormatting":"(Lee et al., 2001)","plainTextFormattedCitation":"(Lee et al., 2001)","previouslyFormattedCitation":"(Lee et al., 2001)"},"properties":{"noteIndex":0},"schema":"https://github.com/citation-style-language/schema/raw/master/csl-citation.json"}</w:instrText>
      </w:r>
      <w:r w:rsidRPr="009B58E8">
        <w:rPr>
          <w:rFonts w:ascii="Times New Roman" w:hAnsi="Times New Roman" w:cs="Times New Roman"/>
          <w:color w:val="000000" w:themeColor="text1"/>
          <w:sz w:val="24"/>
          <w:szCs w:val="24"/>
        </w:rPr>
        <w:fldChar w:fldCharType="separate"/>
      </w:r>
      <w:r w:rsidRPr="009B58E8">
        <w:rPr>
          <w:rFonts w:ascii="Times New Roman" w:hAnsi="Times New Roman" w:cs="Times New Roman"/>
          <w:noProof/>
          <w:color w:val="000000" w:themeColor="text1"/>
          <w:sz w:val="24"/>
          <w:szCs w:val="24"/>
        </w:rPr>
        <w:t>(Lee et al., 2001)</w:t>
      </w:r>
      <w:r w:rsidRPr="009B58E8">
        <w:rPr>
          <w:rFonts w:ascii="Times New Roman" w:hAnsi="Times New Roman" w:cs="Times New Roman"/>
          <w:color w:val="000000" w:themeColor="text1"/>
          <w:sz w:val="24"/>
          <w:szCs w:val="24"/>
        </w:rPr>
        <w:fldChar w:fldCharType="end"/>
      </w:r>
      <w:r w:rsidRPr="009B58E8">
        <w:rPr>
          <w:rFonts w:ascii="Times New Roman" w:hAnsi="Times New Roman" w:cs="Times New Roman"/>
          <w:color w:val="000000" w:themeColor="text1"/>
          <w:sz w:val="24"/>
          <w:szCs w:val="24"/>
        </w:rPr>
        <w:t>.</w:t>
      </w:r>
    </w:p>
    <w:p w14:paraId="0C88CFC3" w14:textId="77777777" w:rsidR="009B58E8" w:rsidRPr="009B58E8" w:rsidRDefault="009B58E8" w:rsidP="001F685B">
      <w:pPr>
        <w:snapToGrid w:val="0"/>
        <w:spacing w:before="120" w:after="120" w:line="240" w:lineRule="auto"/>
        <w:jc w:val="center"/>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lastRenderedPageBreak/>
        <w:t>Table 3. Porter 5 Forces Analysis</w:t>
      </w:r>
    </w:p>
    <w:tbl>
      <w:tblPr>
        <w:tblStyle w:val="TableGrid"/>
        <w:tblW w:w="9072" w:type="dxa"/>
        <w:tblInd w:w="108" w:type="dxa"/>
        <w:tblLook w:val="04A0" w:firstRow="1" w:lastRow="0" w:firstColumn="1" w:lastColumn="0" w:noHBand="0" w:noVBand="1"/>
      </w:tblPr>
      <w:tblGrid>
        <w:gridCol w:w="2864"/>
        <w:gridCol w:w="6208"/>
      </w:tblGrid>
      <w:tr w:rsidR="009B58E8" w:rsidRPr="009B58E8" w14:paraId="384F432F" w14:textId="77777777" w:rsidTr="001F685B">
        <w:tc>
          <w:tcPr>
            <w:tcW w:w="2864" w:type="dxa"/>
            <w:vAlign w:val="center"/>
          </w:tcPr>
          <w:p w14:paraId="77971965" w14:textId="77777777" w:rsidR="009B58E8" w:rsidRPr="009B58E8" w:rsidRDefault="009B58E8" w:rsidP="001F685B">
            <w:pPr>
              <w:tabs>
                <w:tab w:val="left" w:pos="709"/>
              </w:tabs>
              <w:jc w:val="center"/>
              <w:rPr>
                <w:rFonts w:ascii="Times New Roman" w:hAnsi="Times New Roman" w:cs="Times New Roman"/>
                <w:b/>
                <w:bCs/>
                <w:color w:val="000000" w:themeColor="text1"/>
                <w:sz w:val="24"/>
                <w:szCs w:val="24"/>
              </w:rPr>
            </w:pPr>
            <w:r w:rsidRPr="009B58E8">
              <w:rPr>
                <w:rFonts w:ascii="Times New Roman" w:hAnsi="Times New Roman" w:cs="Times New Roman"/>
                <w:b/>
                <w:bCs/>
                <w:color w:val="000000" w:themeColor="text1"/>
                <w:sz w:val="24"/>
                <w:szCs w:val="24"/>
              </w:rPr>
              <w:t>Porter 5 Forces Indicator</w:t>
            </w:r>
          </w:p>
        </w:tc>
        <w:tc>
          <w:tcPr>
            <w:tcW w:w="6208" w:type="dxa"/>
          </w:tcPr>
          <w:p w14:paraId="7AB62250" w14:textId="77777777" w:rsidR="009B58E8" w:rsidRPr="009B58E8" w:rsidRDefault="009B58E8" w:rsidP="009B58E8">
            <w:pPr>
              <w:tabs>
                <w:tab w:val="left" w:pos="709"/>
              </w:tabs>
              <w:jc w:val="center"/>
              <w:rPr>
                <w:rFonts w:ascii="Times New Roman" w:hAnsi="Times New Roman" w:cs="Times New Roman"/>
                <w:b/>
                <w:bCs/>
                <w:color w:val="000000" w:themeColor="text1"/>
                <w:sz w:val="24"/>
                <w:szCs w:val="24"/>
              </w:rPr>
            </w:pPr>
            <w:r w:rsidRPr="009B58E8">
              <w:rPr>
                <w:rFonts w:ascii="Times New Roman" w:hAnsi="Times New Roman" w:cs="Times New Roman"/>
                <w:b/>
                <w:bCs/>
                <w:color w:val="000000" w:themeColor="text1"/>
                <w:sz w:val="24"/>
                <w:szCs w:val="24"/>
              </w:rPr>
              <w:t>Findings</w:t>
            </w:r>
          </w:p>
        </w:tc>
      </w:tr>
      <w:tr w:rsidR="009B58E8" w:rsidRPr="009B58E8" w14:paraId="0355837B" w14:textId="77777777" w:rsidTr="001F685B">
        <w:tc>
          <w:tcPr>
            <w:tcW w:w="2864" w:type="dxa"/>
            <w:vAlign w:val="center"/>
          </w:tcPr>
          <w:p w14:paraId="53D1401C" w14:textId="77777777" w:rsidR="009B58E8" w:rsidRPr="009B58E8" w:rsidRDefault="009B58E8" w:rsidP="001F685B">
            <w:pPr>
              <w:tabs>
                <w:tab w:val="left" w:pos="709"/>
              </w:tabs>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Bargaining Power of Suppliers</w:t>
            </w:r>
          </w:p>
        </w:tc>
        <w:tc>
          <w:tcPr>
            <w:tcW w:w="6208" w:type="dxa"/>
          </w:tcPr>
          <w:p w14:paraId="1D954A71" w14:textId="77777777" w:rsidR="009B58E8" w:rsidRPr="009B58E8" w:rsidRDefault="009B58E8" w:rsidP="009B58E8">
            <w:pPr>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Telkom Indonesia has a wide operational scale and a strong market presence, allowing for competitive pricing and additional services from suppliers. With an open platform, Telkom Indonesia encourages supplier partners, providing flexibility to choose based on functionality, price, and customization for more advantageous negotiations.</w:t>
            </w:r>
          </w:p>
        </w:tc>
      </w:tr>
      <w:tr w:rsidR="009B58E8" w:rsidRPr="009B58E8" w14:paraId="177AE767" w14:textId="77777777" w:rsidTr="001F685B">
        <w:tc>
          <w:tcPr>
            <w:tcW w:w="2864" w:type="dxa"/>
            <w:vAlign w:val="center"/>
          </w:tcPr>
          <w:p w14:paraId="02A1C288" w14:textId="77777777" w:rsidR="009B58E8" w:rsidRPr="009B58E8" w:rsidRDefault="009B58E8" w:rsidP="001F685B">
            <w:pPr>
              <w:tabs>
                <w:tab w:val="left" w:pos="709"/>
              </w:tabs>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Bargaining Power of Buyers</w:t>
            </w:r>
          </w:p>
        </w:tc>
        <w:tc>
          <w:tcPr>
            <w:tcW w:w="6208" w:type="dxa"/>
          </w:tcPr>
          <w:p w14:paraId="12B07B67" w14:textId="77777777" w:rsidR="009B58E8" w:rsidRPr="009B58E8" w:rsidRDefault="009B58E8" w:rsidP="009B58E8">
            <w:pPr>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Telkom Indonesia offers integration and complex IoT solution capabilities with a high level of customization that competitors do not have, allowing solutions to be adapted to customer needs. The strong brand value of Telkom Indonesia also serves as a key selling point in the eyes of consumers.</w:t>
            </w:r>
          </w:p>
        </w:tc>
      </w:tr>
      <w:tr w:rsidR="009B58E8" w:rsidRPr="009B58E8" w14:paraId="6C4C23B3" w14:textId="77777777" w:rsidTr="001F685B">
        <w:tc>
          <w:tcPr>
            <w:tcW w:w="2864" w:type="dxa"/>
            <w:vAlign w:val="center"/>
          </w:tcPr>
          <w:p w14:paraId="610C21BF" w14:textId="77777777" w:rsidR="009B58E8" w:rsidRPr="009B58E8" w:rsidRDefault="009B58E8" w:rsidP="001F685B">
            <w:pPr>
              <w:tabs>
                <w:tab w:val="left" w:pos="709"/>
              </w:tabs>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Threat of Substitutes</w:t>
            </w:r>
          </w:p>
        </w:tc>
        <w:tc>
          <w:tcPr>
            <w:tcW w:w="6208" w:type="dxa"/>
          </w:tcPr>
          <w:p w14:paraId="29779998" w14:textId="77777777" w:rsidR="009B58E8" w:rsidRPr="009B58E8" w:rsidRDefault="009B58E8" w:rsidP="009B58E8">
            <w:pPr>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The Indonesian IoT Association data states that in 2022 there were 28 million IoT sensor devices. The rapid growth of the IoT transportation market with a CAGR of over 15% will attract new competitors, although the entry barrier is high due to the significant capital required for infrastructure and technology.</w:t>
            </w:r>
          </w:p>
        </w:tc>
      </w:tr>
      <w:tr w:rsidR="009B58E8" w:rsidRPr="009B58E8" w14:paraId="183D2017" w14:textId="77777777" w:rsidTr="001F685B">
        <w:tc>
          <w:tcPr>
            <w:tcW w:w="2864" w:type="dxa"/>
            <w:vAlign w:val="center"/>
          </w:tcPr>
          <w:p w14:paraId="40026ECE" w14:textId="77777777" w:rsidR="009B58E8" w:rsidRPr="009B58E8" w:rsidRDefault="009B58E8" w:rsidP="001F685B">
            <w:pPr>
              <w:tabs>
                <w:tab w:val="left" w:pos="709"/>
              </w:tabs>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Threat of New Entrants</w:t>
            </w:r>
          </w:p>
        </w:tc>
        <w:tc>
          <w:tcPr>
            <w:tcW w:w="6208" w:type="dxa"/>
          </w:tcPr>
          <w:p w14:paraId="3861BA84" w14:textId="77777777" w:rsidR="009B58E8" w:rsidRPr="009B58E8" w:rsidRDefault="009B58E8" w:rsidP="009B58E8">
            <w:pPr>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The dynamics of competition in the IoT transportation market have intensified post-COVID-19, with Telkom's services digitizing conventional vehicles to form the Internet of Vehicles, creating a competitive advantage. On the other hand, autonomous vehicles are experiencing significant growth, with market value projections reaching $2.3 trillion by 2030, posing a real threat.</w:t>
            </w:r>
          </w:p>
        </w:tc>
      </w:tr>
      <w:tr w:rsidR="009B58E8" w:rsidRPr="009B58E8" w14:paraId="70C07162" w14:textId="77777777" w:rsidTr="001F685B">
        <w:tc>
          <w:tcPr>
            <w:tcW w:w="2864" w:type="dxa"/>
            <w:vAlign w:val="center"/>
          </w:tcPr>
          <w:p w14:paraId="7C04C66D" w14:textId="77777777" w:rsidR="009B58E8" w:rsidRPr="009B58E8" w:rsidRDefault="009B58E8" w:rsidP="001F685B">
            <w:pPr>
              <w:tabs>
                <w:tab w:val="left" w:pos="709"/>
              </w:tabs>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 xml:space="preserve">Industry </w:t>
            </w:r>
            <w:proofErr w:type="spellStart"/>
            <w:r w:rsidRPr="009B58E8">
              <w:rPr>
                <w:rFonts w:ascii="Times New Roman" w:hAnsi="Times New Roman" w:cs="Times New Roman"/>
                <w:bCs/>
                <w:color w:val="000000" w:themeColor="text1"/>
                <w:sz w:val="24"/>
                <w:szCs w:val="24"/>
              </w:rPr>
              <w:t>Rivaly</w:t>
            </w:r>
            <w:proofErr w:type="spellEnd"/>
          </w:p>
        </w:tc>
        <w:tc>
          <w:tcPr>
            <w:tcW w:w="6208" w:type="dxa"/>
          </w:tcPr>
          <w:p w14:paraId="5E3D4D04" w14:textId="77777777" w:rsidR="009B58E8" w:rsidRPr="009B58E8" w:rsidRDefault="009B58E8" w:rsidP="009B58E8">
            <w:pPr>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The rapid growth of the IoT transportation market with a CAGR of over 15% and government policies are intensifying competition, both domestically and globally. Telkom offers custom IoT solutions tailored to customer needs, although the prices are less competitive, while diversifying services to face competition.</w:t>
            </w:r>
          </w:p>
        </w:tc>
      </w:tr>
    </w:tbl>
    <w:p w14:paraId="7A861379" w14:textId="77777777" w:rsidR="009B58E8" w:rsidRPr="009B58E8" w:rsidRDefault="009B58E8" w:rsidP="001F685B">
      <w:pPr>
        <w:snapToGrid w:val="0"/>
        <w:spacing w:before="120" w:after="120" w:line="240" w:lineRule="auto"/>
        <w:jc w:val="both"/>
        <w:rPr>
          <w:rFonts w:ascii="Times New Roman" w:hAnsi="Times New Roman" w:cs="Times New Roman"/>
          <w:color w:val="000000" w:themeColor="text1"/>
          <w:sz w:val="24"/>
          <w:szCs w:val="24"/>
        </w:rPr>
      </w:pPr>
      <w:r w:rsidRPr="009B58E8">
        <w:rPr>
          <w:rFonts w:ascii="Times New Roman" w:hAnsi="Times New Roman" w:cs="Times New Roman"/>
          <w:bCs/>
          <w:color w:val="000000" w:themeColor="text1"/>
          <w:sz w:val="24"/>
          <w:szCs w:val="24"/>
        </w:rPr>
        <w:t>Based on the results of the Porter 5 Forces analysis in Table 3, it provides deep insights into the aspect of industry rivalry in the transportation IoT sector, which is very intense due to the presence of several players offering similar solutions. Telkom Indonesia has an advantage by offering a more advanced IoT system compared to its competitors, as well as a diversification of services tailored to various levels of consumer needs. This gives Telkom a significant competitive edge in an increasingly tight market. Telkom Indonesia is also capable of integrating IoT technology in transportation to create a system that is more efficient, safe, and environmentally friendly</w:t>
      </w:r>
      <w:r w:rsidRPr="009B58E8">
        <w:rPr>
          <w:rFonts w:ascii="Times New Roman" w:hAnsi="Times New Roman" w:cs="Times New Roman"/>
          <w:color w:val="000000" w:themeColor="text1"/>
          <w:sz w:val="24"/>
          <w:szCs w:val="24"/>
        </w:rPr>
        <w:t xml:space="preserve">. </w:t>
      </w:r>
    </w:p>
    <w:p w14:paraId="04A5FE99" w14:textId="77777777" w:rsidR="009B58E8" w:rsidRPr="009B58E8" w:rsidRDefault="009B58E8" w:rsidP="001F685B">
      <w:pPr>
        <w:snapToGrid w:val="0"/>
        <w:spacing w:before="120" w:after="120" w:line="240" w:lineRule="auto"/>
        <w:jc w:val="both"/>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 xml:space="preserve">Telkom Indonesia has strong bargaining power with technology suppliers due to its large operational scale and strong market presence. Through open platforms like Antares and the </w:t>
      </w:r>
      <w:proofErr w:type="spellStart"/>
      <w:r w:rsidRPr="009B58E8">
        <w:rPr>
          <w:rFonts w:ascii="Times New Roman" w:hAnsi="Times New Roman" w:cs="Times New Roman"/>
          <w:color w:val="000000" w:themeColor="text1"/>
          <w:sz w:val="24"/>
          <w:szCs w:val="24"/>
        </w:rPr>
        <w:t>IndiCar</w:t>
      </w:r>
      <w:proofErr w:type="spellEnd"/>
      <w:r w:rsidRPr="009B58E8">
        <w:rPr>
          <w:rFonts w:ascii="Times New Roman" w:hAnsi="Times New Roman" w:cs="Times New Roman"/>
          <w:color w:val="000000" w:themeColor="text1"/>
          <w:sz w:val="24"/>
          <w:szCs w:val="24"/>
        </w:rPr>
        <w:t xml:space="preserve"> open device system, Telkom can collaborate with various suppliers without being tied to a specific brand. This can indirectly enhance the flexibility and efficiency of services as evidence of supplier bargaining power </w:t>
      </w:r>
      <w:r w:rsidRPr="009B58E8">
        <w:rPr>
          <w:rFonts w:ascii="Times New Roman" w:hAnsi="Times New Roman" w:cs="Times New Roman"/>
          <w:color w:val="000000" w:themeColor="text1"/>
          <w:sz w:val="24"/>
          <w:szCs w:val="24"/>
        </w:rPr>
        <w:fldChar w:fldCharType="begin" w:fldLock="1"/>
      </w:r>
      <w:r w:rsidRPr="009B58E8">
        <w:rPr>
          <w:rFonts w:ascii="Times New Roman" w:hAnsi="Times New Roman" w:cs="Times New Roman"/>
          <w:color w:val="000000" w:themeColor="text1"/>
          <w:sz w:val="24"/>
          <w:szCs w:val="24"/>
        </w:rPr>
        <w:instrText>ADDIN CSL_CITATION {"citationItems":[{"id":"ITEM-1","itemData":{"DOI":"10.1111/deci.12449","ISSN":"15405915","abstract":"In highly competitive industries, many original equipment manufacturers (OEMs) increasingly outsource production to reduce costs. We study an OEM's outsourcing decision between a third-party supplier and a vertically integrated firm that manufactures in house and competes with the OEM in the consumer market (i.e., an integrated competitor). Our setting explicitly considers two important aspects of the sourcing decision. First, we capture the competition between the two sourcing alternatives through interdependent repeated bilateral wholesale-price negotiations in which the negotiating parties' disagreement payoffs are endogenous. Specifically, in the negotiation between the OEM and either supplier, the negotiating parties' disagreement payoffs are given by the profits that would result if the OEM sourced from the other supplier. Second, we capture the economies of scale involved with production in that either supplier derives positive externalities from increasing his total production quantity. We show that, for given wholesale prices—counter to intuition—it is not optimal for the OEM to always choose the supplier offering the lower wholesale price. In the absence of either competition or economies of scale, the OEM always simply prefers the source with the lower wholesale price. However, in the presence of both economies of scale and competition in the focal market, the OEM may be better off sourcing from the third-party supplier even at a higher wholesale price. When equilibrium wholesale prices are determined through simultaneous bilateral negotiations between the OEM and the two potential suppliers, sourcing from the integrated competitor might be more profitable when scale economies are strong and competition is weak. We investigate the robustness of our findings and find that our structural results continue to hold for several model relaxations and extensions. We also show that in the absence of restrictive capacity constraints, the OEM always prefers sourcing exclusively from one of the suppliers to dual sourcing. Our findings demonstrate the importance for managers to account for both the extent of scale economies and the competitive dynamics in the consumer market when deciding their supply mode.","author":[{"dropping-particle":"","family":"Heese","given":"Hans Sebastian","non-dropping-particle":"","parse-names":false,"suffix":""},{"dropping-particle":"","family":"Kemahlıoğlu-Ziya","given":"Eda","non-dropping-particle":"","parse-names":false,"suffix":""},{"dropping-particle":"","family":"Perdikaki","given":"Olga","non-dropping-particle":"","parse-names":false,"suffix":""}],"container-title":"Decision Sciences","id":"ITEM-1","issue":"5","issued":{"date-parts":[["2021"]]},"page":"1209-1241","title":"Outsourcing under Competition and Scale Economies: When to Choose a Competitor as a Supplier","type":"article-journal","volume":"52"},"uris":["http://www.mendeley.com/documents/?uuid=87577d64-5164-451e-be9c-5dc5ae5eb0c7"]},{"id":"ITEM-2","itemData":{"DOI":"10.1016/j.ejor.2020.05.053","ISSN":"03772217","abstract":"This paper analyzes a decentralized global supply chain under a newsvendor setting, where a supplier delivers a certain quantity of a single product to a buyer in accordance with the terms of a mutually agreed upon contract. This contract is signed prior to the delivery of the product and subsequent payment, thus, exposing the supply chain to the risk of currency exchange rate fluctuations. We propose two types of currency exchange rate flexibility contracts to explore the characteristics of exchange rate risk mitigation policies for the buyer and the supplier. Furthermore, we investigate the effects of the contract structures on the optimal order quantity, as well as the expected profits of both supply chain members. Our results show that the optimal order quantity of the buyer decreases when the wholesale price is uncertain due to exchange rate volatility. Also, both our proposed contracts tend to improve the expected profits of both the buyer and the supplier, when the payment is made in the supplier's currency, indicating the desirability of adopting such contractual agreements from the perspective of both parties. On the other hand, when the payment is made in the buyer's currency, our suggested contracts do not yield such win-win scenarios. Finally, we examine the effectiveness of availing the services of a local vendor, which is capable of satisfying any demand in excess of the quantity ordered from the foreign source with short notice, in order to mitigate the risks associated with an overseas order.","author":[{"dropping-particle":"","family":"Ogunranti","given":"Gbemileke A.","non-dropping-particle":"","parse-names":false,"suffix":""},{"dropping-particle":"","family":"Ceryan","given":"Oben","non-dropping-particle":"","parse-names":false,"suffix":""},{"dropping-particle":"","family":"Banerjee","given":"Avijit","non-dropping-particle":"","parse-names":false,"suffix":""}],"container-title":"European Journal of Operational Research","id":"ITEM-2","issue":"2","issued":{"date-parts":[["2021"]]},"page":"420-435","publisher":"Elsevier B.V.","title":"Buyer-supplier currency exchange rate flexibility contracts in global supply chains","type":"article-journal","volume":"288"},"uris":["http://www.mendeley.com/documents/?uuid=04de1ebe-c942-4fa9-a4f1-a83a91e7067f"]}],"mendeley":{"formattedCitation":"(Heese et al., 2021; Ogunranti et al., 2021)","plainTextFormattedCitation":"(Heese et al., 2021; Ogunranti et al., 2021)","previouslyFormattedCitation":"(Heese et al., 2021; Ogunranti et al., 2021)"},"properties":{"noteIndex":0},"schema":"https://github.com/citation-style-language/schema/raw/master/csl-citation.json"}</w:instrText>
      </w:r>
      <w:r w:rsidRPr="009B58E8">
        <w:rPr>
          <w:rFonts w:ascii="Times New Roman" w:hAnsi="Times New Roman" w:cs="Times New Roman"/>
          <w:color w:val="000000" w:themeColor="text1"/>
          <w:sz w:val="24"/>
          <w:szCs w:val="24"/>
        </w:rPr>
        <w:fldChar w:fldCharType="separate"/>
      </w:r>
      <w:r w:rsidRPr="009B58E8">
        <w:rPr>
          <w:rFonts w:ascii="Times New Roman" w:hAnsi="Times New Roman" w:cs="Times New Roman"/>
          <w:noProof/>
          <w:color w:val="000000" w:themeColor="text1"/>
          <w:sz w:val="24"/>
          <w:szCs w:val="24"/>
        </w:rPr>
        <w:t>(Heese et al., 2021; Ogunranti et al., 2021)</w:t>
      </w:r>
      <w:r w:rsidRPr="009B58E8">
        <w:rPr>
          <w:rFonts w:ascii="Times New Roman" w:hAnsi="Times New Roman" w:cs="Times New Roman"/>
          <w:color w:val="000000" w:themeColor="text1"/>
          <w:sz w:val="24"/>
          <w:szCs w:val="24"/>
        </w:rPr>
        <w:fldChar w:fldCharType="end"/>
      </w:r>
      <w:r w:rsidRPr="009B58E8">
        <w:rPr>
          <w:rFonts w:ascii="Times New Roman" w:hAnsi="Times New Roman" w:cs="Times New Roman"/>
          <w:color w:val="000000" w:themeColor="text1"/>
          <w:sz w:val="24"/>
          <w:szCs w:val="24"/>
        </w:rPr>
        <w:t xml:space="preserve">. On the other hand, customers in the transportation IoT sector have considerable bargaining power due to their specific needs. To address this challenge, Telkom Indonesia offers highly customizable IoT services, such as the </w:t>
      </w:r>
      <w:proofErr w:type="spellStart"/>
      <w:r w:rsidRPr="009B58E8">
        <w:rPr>
          <w:rFonts w:ascii="Times New Roman" w:hAnsi="Times New Roman" w:cs="Times New Roman"/>
          <w:color w:val="000000" w:themeColor="text1"/>
          <w:sz w:val="24"/>
          <w:szCs w:val="24"/>
        </w:rPr>
        <w:t>IndiCar</w:t>
      </w:r>
      <w:proofErr w:type="spellEnd"/>
      <w:r w:rsidRPr="009B58E8">
        <w:rPr>
          <w:rFonts w:ascii="Times New Roman" w:hAnsi="Times New Roman" w:cs="Times New Roman"/>
          <w:color w:val="000000" w:themeColor="text1"/>
          <w:sz w:val="24"/>
          <w:szCs w:val="24"/>
        </w:rPr>
        <w:t xml:space="preserve"> and </w:t>
      </w:r>
      <w:proofErr w:type="spellStart"/>
      <w:r w:rsidRPr="009B58E8">
        <w:rPr>
          <w:rFonts w:ascii="Times New Roman" w:hAnsi="Times New Roman" w:cs="Times New Roman"/>
          <w:color w:val="000000" w:themeColor="text1"/>
          <w:sz w:val="24"/>
          <w:szCs w:val="24"/>
        </w:rPr>
        <w:t>IndiTrans</w:t>
      </w:r>
      <w:proofErr w:type="spellEnd"/>
      <w:r w:rsidRPr="009B58E8">
        <w:rPr>
          <w:rFonts w:ascii="Times New Roman" w:hAnsi="Times New Roman" w:cs="Times New Roman"/>
          <w:color w:val="000000" w:themeColor="text1"/>
          <w:sz w:val="24"/>
          <w:szCs w:val="24"/>
        </w:rPr>
        <w:t xml:space="preserve"> products, which focus on vehicle security and </w:t>
      </w:r>
      <w:r w:rsidRPr="009B58E8">
        <w:rPr>
          <w:rFonts w:ascii="Times New Roman" w:hAnsi="Times New Roman" w:cs="Times New Roman"/>
          <w:color w:val="000000" w:themeColor="text1"/>
          <w:sz w:val="24"/>
          <w:szCs w:val="24"/>
        </w:rPr>
        <w:lastRenderedPageBreak/>
        <w:t xml:space="preserve">productivity solutions. Innovation and service differentiation become efforts to maintain competitiveness amid increasing customer demand </w:t>
      </w:r>
      <w:r w:rsidRPr="009B58E8">
        <w:rPr>
          <w:rFonts w:ascii="Times New Roman" w:hAnsi="Times New Roman" w:cs="Times New Roman"/>
          <w:color w:val="000000" w:themeColor="text1"/>
          <w:sz w:val="24"/>
          <w:szCs w:val="24"/>
        </w:rPr>
        <w:fldChar w:fldCharType="begin" w:fldLock="1"/>
      </w:r>
      <w:r w:rsidRPr="009B58E8">
        <w:rPr>
          <w:rFonts w:ascii="Times New Roman" w:hAnsi="Times New Roman" w:cs="Times New Roman"/>
          <w:color w:val="000000" w:themeColor="text1"/>
          <w:sz w:val="24"/>
          <w:szCs w:val="24"/>
        </w:rPr>
        <w:instrText>ADDIN CSL_CITATION {"citationItems":[{"id":"ITEM-1","itemData":{"DOI":"10.22215/timreview/1366","ISSN":"19270321","abstract":"Porter's Five Forces (P5F) framework, published in 1979, helps us to understand the attractiveness of an industry. The five competitive forces are: the threat of new entrants, the bargaining power of buyers, the bargaining power of suppliers, the threat of substitute products of services, and the rivalry among existing competitors. This framework has recently come under scrutiny and been called into question. To contribute to the debate, this paper investigates the relevance of Porter's framework by contrasting vastly different industries. The use cases consist of a resource-based, capital-intensive industry, the mining industry, and a knowledge-based, labor-intensive industry, the information technology industry. Drawing from research on Porter's Five Forces framework, and through an internationalization lens, the paper proposes a modified framework augmented with four additional forces. These additional forces are: the competitor's level of innovativeness, exposure to globalization, threat of digitalization, and industry exposure to de/regulation activities. These forces were added to capture the increased interconnectivity and complexity of businesses operating in the 21st century. The paper contributes to this body of knowledge by augmenting a popular framework and applying it to vital industrial sectors. The findings aim to incite researchers, managers, entrepreneurs and policymakers to go beyond the traditional five forces as a way to help monitor their business environment and enhance decision-making processes, particularly in a post-COVID-19 world.","author":[{"dropping-particle":"","family":"Isabelle","given":"Diane","non-dropping-particle":"","parse-names":false,"suffix":""},{"dropping-particle":"","family":"Horak","given":"Kevin","non-dropping-particle":"","parse-names":false,"suffix":""},{"dropping-particle":"","family":"McKinnon","given":"Sarah","non-dropping-particle":"","parse-names":false,"suffix":""},{"dropping-particle":"","family":"Palumbo","given":"Chiara","non-dropping-particle":"","parse-names":false,"suffix":""}],"container-title":"Technology Innovation Management Review","id":"ITEM-1","issue":"6","issued":{"date-parts":[["2020"]]},"page":"28-41","title":"Is Porter's five forces framework still relevant? A study of the capital/labour intensity continuum via mining and IT industries","type":"article-journal","volume":"10"},"uris":["http://www.mendeley.com/documents/?uuid=e378e80d-7a9b-4f35-a1e3-698cc1247ba9"]}],"mendeley":{"formattedCitation":"(Isabelle et al., 2020)","plainTextFormattedCitation":"(Isabelle et al., 2020)","previouslyFormattedCitation":"(Isabelle et al., 2020)"},"properties":{"noteIndex":0},"schema":"https://github.com/citation-style-language/schema/raw/master/csl-citation.json"}</w:instrText>
      </w:r>
      <w:r w:rsidRPr="009B58E8">
        <w:rPr>
          <w:rFonts w:ascii="Times New Roman" w:hAnsi="Times New Roman" w:cs="Times New Roman"/>
          <w:color w:val="000000" w:themeColor="text1"/>
          <w:sz w:val="24"/>
          <w:szCs w:val="24"/>
        </w:rPr>
        <w:fldChar w:fldCharType="separate"/>
      </w:r>
      <w:r w:rsidRPr="009B58E8">
        <w:rPr>
          <w:rFonts w:ascii="Times New Roman" w:hAnsi="Times New Roman" w:cs="Times New Roman"/>
          <w:noProof/>
          <w:color w:val="000000" w:themeColor="text1"/>
          <w:sz w:val="24"/>
          <w:szCs w:val="24"/>
        </w:rPr>
        <w:t>(Isabelle et al., 2020)</w:t>
      </w:r>
      <w:r w:rsidRPr="009B58E8">
        <w:rPr>
          <w:rFonts w:ascii="Times New Roman" w:hAnsi="Times New Roman" w:cs="Times New Roman"/>
          <w:color w:val="000000" w:themeColor="text1"/>
          <w:sz w:val="24"/>
          <w:szCs w:val="24"/>
        </w:rPr>
        <w:fldChar w:fldCharType="end"/>
      </w:r>
      <w:r w:rsidRPr="009B58E8">
        <w:rPr>
          <w:rFonts w:ascii="Times New Roman" w:hAnsi="Times New Roman" w:cs="Times New Roman"/>
          <w:color w:val="000000" w:themeColor="text1"/>
          <w:sz w:val="24"/>
          <w:szCs w:val="24"/>
        </w:rPr>
        <w:t xml:space="preserve">. </w:t>
      </w:r>
    </w:p>
    <w:p w14:paraId="6F24EDF3" w14:textId="77777777" w:rsidR="009B58E8" w:rsidRPr="009B58E8" w:rsidRDefault="009B58E8" w:rsidP="001F685B">
      <w:pPr>
        <w:snapToGrid w:val="0"/>
        <w:spacing w:before="120" w:after="120" w:line="240" w:lineRule="auto"/>
        <w:jc w:val="both"/>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 xml:space="preserve">Although IoT in transportation offers many advantages, the threat from substitute products such as autonomous vehicles is a concern due to the potential for increased efficiency, safety, and comfort in transportation </w:t>
      </w:r>
      <w:r w:rsidRPr="009B58E8">
        <w:rPr>
          <w:rFonts w:ascii="Times New Roman" w:hAnsi="Times New Roman" w:cs="Times New Roman"/>
          <w:color w:val="000000" w:themeColor="text1"/>
          <w:sz w:val="24"/>
          <w:szCs w:val="24"/>
        </w:rPr>
        <w:fldChar w:fldCharType="begin" w:fldLock="1"/>
      </w:r>
      <w:r w:rsidRPr="009B58E8">
        <w:rPr>
          <w:rFonts w:ascii="Times New Roman" w:hAnsi="Times New Roman" w:cs="Times New Roman"/>
          <w:color w:val="000000" w:themeColor="text1"/>
          <w:sz w:val="24"/>
          <w:szCs w:val="24"/>
        </w:rPr>
        <w:instrText>ADDIN CSL_CITATION {"citationItems":[{"id":"ITEM-1","itemData":{"DOI":"10.1007/s41062-022-00763-6","ISBN":"0123456789","ISSN":"23644184","abstract":"Over the last few years, a large emphasis has been devoted to autonomous vehicles (AVs), as vehicle automation promises a large number of benefits such as: improving mobility and minimization of energy and emissions. Additionally, AVs represent a major tool in the fight against pandemics as autonomous vehicles can be used to transport people while maintaining isolation and sterilization. Thus, manufacturers are racing to introduce AVs as fast as possible. However, laws and regulations are not yet ready for this change and the legal sector is following the development of autonomous vehicles instead of taking the lead. This paper provides a comprehensive review of the previous studies in the transportation field that involve AVs with the aim of exploring the implications of AVs on the safety, public behaviour, land use, economy, society and environment, public health, and benefits of autonomous vehicles in fighting pandemics.","author":[{"dropping-particle":"","family":"Othman","given":"Kareem","non-dropping-particle":"","parse-names":false,"suffix":""}],"container-title":"Innovative Infrastructure Solutions","id":"ITEM-1","issue":"2","issued":{"date-parts":[["2022"]]},"number-of-pages":"1-32","publisher":"Springer International Publishing","title":"Exploring the implications of autonomous vehicles: a comprehensive review","type":"book","volume":"7"},"uris":["http://www.mendeley.com/documents/?uuid=20967981-9afe-4a5f-b4bd-c7981957ac1b"]}],"mendeley":{"formattedCitation":"(Othman, 2022)","plainTextFormattedCitation":"(Othman, 2022)","previouslyFormattedCitation":"(Othman, 2022)"},"properties":{"noteIndex":0},"schema":"https://github.com/citation-style-language/schema/raw/master/csl-citation.json"}</w:instrText>
      </w:r>
      <w:r w:rsidRPr="009B58E8">
        <w:rPr>
          <w:rFonts w:ascii="Times New Roman" w:hAnsi="Times New Roman" w:cs="Times New Roman"/>
          <w:color w:val="000000" w:themeColor="text1"/>
          <w:sz w:val="24"/>
          <w:szCs w:val="24"/>
        </w:rPr>
        <w:fldChar w:fldCharType="separate"/>
      </w:r>
      <w:r w:rsidRPr="009B58E8">
        <w:rPr>
          <w:rFonts w:ascii="Times New Roman" w:hAnsi="Times New Roman" w:cs="Times New Roman"/>
          <w:noProof/>
          <w:color w:val="000000" w:themeColor="text1"/>
          <w:sz w:val="24"/>
          <w:szCs w:val="24"/>
        </w:rPr>
        <w:t>(Othman, 2022)</w:t>
      </w:r>
      <w:r w:rsidRPr="009B58E8">
        <w:rPr>
          <w:rFonts w:ascii="Times New Roman" w:hAnsi="Times New Roman" w:cs="Times New Roman"/>
          <w:color w:val="000000" w:themeColor="text1"/>
          <w:sz w:val="24"/>
          <w:szCs w:val="24"/>
        </w:rPr>
        <w:fldChar w:fldCharType="end"/>
      </w:r>
      <w:r w:rsidRPr="009B58E8">
        <w:rPr>
          <w:rFonts w:ascii="Times New Roman" w:hAnsi="Times New Roman" w:cs="Times New Roman"/>
          <w:color w:val="000000" w:themeColor="text1"/>
          <w:sz w:val="24"/>
          <w:szCs w:val="24"/>
        </w:rPr>
        <w:t>. Telkom Indonesia can address this threat by continuously developing innovative IoT solutions that comply with government regulations and leveraging Internet of Vehicles (</w:t>
      </w:r>
      <w:proofErr w:type="spellStart"/>
      <w:r w:rsidRPr="009B58E8">
        <w:rPr>
          <w:rFonts w:ascii="Times New Roman" w:hAnsi="Times New Roman" w:cs="Times New Roman"/>
          <w:color w:val="000000" w:themeColor="text1"/>
          <w:sz w:val="24"/>
          <w:szCs w:val="24"/>
        </w:rPr>
        <w:t>IoV</w:t>
      </w:r>
      <w:proofErr w:type="spellEnd"/>
      <w:r w:rsidRPr="009B58E8">
        <w:rPr>
          <w:rFonts w:ascii="Times New Roman" w:hAnsi="Times New Roman" w:cs="Times New Roman"/>
          <w:color w:val="000000" w:themeColor="text1"/>
          <w:sz w:val="24"/>
          <w:szCs w:val="24"/>
        </w:rPr>
        <w:t xml:space="preserve">) technology to maintain its competitive edge. In addition, the potential threat from new players in the transportation IoT market is quite significant, considering the rapid growth and high profit potential. However, Telkom has an advantage with open device and open platform technology in </w:t>
      </w:r>
      <w:proofErr w:type="spellStart"/>
      <w:r w:rsidRPr="009B58E8">
        <w:rPr>
          <w:rFonts w:ascii="Times New Roman" w:hAnsi="Times New Roman" w:cs="Times New Roman"/>
          <w:color w:val="000000" w:themeColor="text1"/>
          <w:sz w:val="24"/>
          <w:szCs w:val="24"/>
        </w:rPr>
        <w:t>IndiCar</w:t>
      </w:r>
      <w:proofErr w:type="spellEnd"/>
      <w:r w:rsidRPr="009B58E8">
        <w:rPr>
          <w:rFonts w:ascii="Times New Roman" w:hAnsi="Times New Roman" w:cs="Times New Roman"/>
          <w:color w:val="000000" w:themeColor="text1"/>
          <w:sz w:val="24"/>
          <w:szCs w:val="24"/>
        </w:rPr>
        <w:t>, which facilitates integration with various devices. This makes Telkom Indonesia’s position hard to match for new competitors, especially with highly customized and innovative solutions.</w:t>
      </w:r>
    </w:p>
    <w:p w14:paraId="76C97038" w14:textId="77777777" w:rsidR="009B58E8" w:rsidRPr="009B58E8" w:rsidRDefault="009B58E8" w:rsidP="001F685B">
      <w:pPr>
        <w:snapToGrid w:val="0"/>
        <w:spacing w:before="120" w:after="120" w:line="240" w:lineRule="auto"/>
        <w:jc w:val="both"/>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 xml:space="preserve">The appeal of the IoT industry in the transportation sector shows that although the adoption of IoT in Indonesia is still low compared to other countries, awareness of the strategic value of this technology is increasing. Telkom Indonesia plays a crucial role in integrating IoT with transportation through its </w:t>
      </w:r>
      <w:proofErr w:type="spellStart"/>
      <w:r w:rsidRPr="009B58E8">
        <w:rPr>
          <w:rFonts w:ascii="Times New Roman" w:hAnsi="Times New Roman" w:cs="Times New Roman"/>
          <w:color w:val="000000" w:themeColor="text1"/>
          <w:sz w:val="24"/>
          <w:szCs w:val="24"/>
        </w:rPr>
        <w:t>IndiCar</w:t>
      </w:r>
      <w:proofErr w:type="spellEnd"/>
      <w:r w:rsidRPr="009B58E8">
        <w:rPr>
          <w:rFonts w:ascii="Times New Roman" w:hAnsi="Times New Roman" w:cs="Times New Roman"/>
          <w:color w:val="000000" w:themeColor="text1"/>
          <w:sz w:val="24"/>
          <w:szCs w:val="24"/>
        </w:rPr>
        <w:t xml:space="preserve"> and </w:t>
      </w:r>
      <w:proofErr w:type="spellStart"/>
      <w:r w:rsidRPr="009B58E8">
        <w:rPr>
          <w:rFonts w:ascii="Times New Roman" w:hAnsi="Times New Roman" w:cs="Times New Roman"/>
          <w:color w:val="000000" w:themeColor="text1"/>
          <w:sz w:val="24"/>
          <w:szCs w:val="24"/>
        </w:rPr>
        <w:t>IndiTrans</w:t>
      </w:r>
      <w:proofErr w:type="spellEnd"/>
      <w:r w:rsidRPr="009B58E8">
        <w:rPr>
          <w:rFonts w:ascii="Times New Roman" w:hAnsi="Times New Roman" w:cs="Times New Roman"/>
          <w:color w:val="000000" w:themeColor="text1"/>
          <w:sz w:val="24"/>
          <w:szCs w:val="24"/>
        </w:rPr>
        <w:t xml:space="preserve"> services, which offer advanced solutions. By considering the aspects of supply and demand, Telkom Indonesia can meet market needs, attract investors, and enhance operational efficiency. The excellence in providing high-quality IoT solutions becomes an attraction for customers seeking specialized features. The balance between supply and demand, along with product innovation, supports the attractiveness of the industry and sustainable business growth </w:t>
      </w:r>
      <w:r w:rsidRPr="009B58E8">
        <w:rPr>
          <w:rFonts w:ascii="Times New Roman" w:hAnsi="Times New Roman" w:cs="Times New Roman"/>
          <w:color w:val="000000" w:themeColor="text1"/>
          <w:sz w:val="24"/>
          <w:szCs w:val="24"/>
        </w:rPr>
        <w:fldChar w:fldCharType="begin" w:fldLock="1"/>
      </w:r>
      <w:r w:rsidRPr="009B58E8">
        <w:rPr>
          <w:rFonts w:ascii="Times New Roman" w:hAnsi="Times New Roman" w:cs="Times New Roman"/>
          <w:color w:val="000000" w:themeColor="text1"/>
          <w:sz w:val="24"/>
          <w:szCs w:val="24"/>
        </w:rPr>
        <w:instrText>ADDIN CSL_CITATION {"citationItems":[{"id":"ITEM-1","itemData":{"abstract":"… 33 A similar consumer credit market is for payday loans and high-cost credit products. Research shows that people will accept whatever terms they are given because they need money desperately … 499, 499-502 (2019) (detailing fintech and finance) …","author":[{"dropping-particle":"","family":"Bruijl","given":"Gerard H. Th.","non-dropping-particle":"","parse-names":false,"suffix":""}],"container-title":"Brooklyn Journal of Corporate, Financial &amp; Commercial Law","id":"ITEM-1","issue":"June","issued":{"date-parts":[["2018"]]},"page":"1-43","title":"The Relevance of Porter’s Five Forces in Today’s Innovative and Changing Business Environment","type":"article-journal","volume":"15"},"uris":["http://www.mendeley.com/documents/?uuid=d9d9f337-5a65-4d3e-9b0f-cb407b0addd0"]},{"id":"ITEM-2","itemData":{"DOI":"10.1016/j.indmarman.2005.10.003","ISSN":"00198501","abstract":"This paper endorses demand chain management as a new business model aimed at creating value in today's marketplace, and combining the strengths of marketing and supply chain competencies. Demand chain design is based on a thorough market understanding and has to be managed in such a way as to effectively meet differing customer needs. Based on a literature review as well as the findings from a co-development workshop and focus group discussions with marketing and supply chain professionals, a conceptual foundation for demand chain management is proposed. Demand chain management involves (1) managing the integration between demand and supply processes; (2) managing the structure between the integrated processes and customer segments and (3) managing the working relationships between marketing and supply chain management. Propositions for the role of marketing within demand chain management and implications for further research in marketing are derived. © 2005 Elsevier Inc. All rights reserved.","author":[{"dropping-particle":"","family":"Jüttner","given":"Uta","non-dropping-particle":"","parse-names":false,"suffix":""},{"dropping-particle":"","family":"Christopher","given":"Martin","non-dropping-particle":"","parse-names":false,"suffix":""},{"dropping-particle":"","family":"Baker","given":"Susan","non-dropping-particle":"","parse-names":false,"suffix":""}],"container-title":"Industrial Marketing Management","id":"ITEM-2","issue":"3","issued":{"date-parts":[["2007"]]},"page":"377-392","title":"Demand chain management-integrating marketing and supply chain management","type":"article-journal","volume":"36"},"uris":["http://www.mendeley.com/documents/?uuid=50ec4eb8-9d66-4e41-851b-14af158f9936"]}],"mendeley":{"formattedCitation":"(Bruijl, 2018; Jüttner et al., 2007)","plainTextFormattedCitation":"(Bruijl, 2018; Jüttner et al., 2007)","previouslyFormattedCitation":"(Bruijl, 2018; Jüttner et al., 2007)"},"properties":{"noteIndex":0},"schema":"https://github.com/citation-style-language/schema/raw/master/csl-citation.json"}</w:instrText>
      </w:r>
      <w:r w:rsidRPr="009B58E8">
        <w:rPr>
          <w:rFonts w:ascii="Times New Roman" w:hAnsi="Times New Roman" w:cs="Times New Roman"/>
          <w:color w:val="000000" w:themeColor="text1"/>
          <w:sz w:val="24"/>
          <w:szCs w:val="24"/>
        </w:rPr>
        <w:fldChar w:fldCharType="separate"/>
      </w:r>
      <w:r w:rsidRPr="009B58E8">
        <w:rPr>
          <w:rFonts w:ascii="Times New Roman" w:hAnsi="Times New Roman" w:cs="Times New Roman"/>
          <w:noProof/>
          <w:color w:val="000000" w:themeColor="text1"/>
          <w:sz w:val="24"/>
          <w:szCs w:val="24"/>
        </w:rPr>
        <w:t>(Bruijl, 2018; Jüttner et al., 2007)</w:t>
      </w:r>
      <w:r w:rsidRPr="009B58E8">
        <w:rPr>
          <w:rFonts w:ascii="Times New Roman" w:hAnsi="Times New Roman" w:cs="Times New Roman"/>
          <w:color w:val="000000" w:themeColor="text1"/>
          <w:sz w:val="24"/>
          <w:szCs w:val="24"/>
        </w:rPr>
        <w:fldChar w:fldCharType="end"/>
      </w:r>
      <w:r w:rsidRPr="009B58E8">
        <w:rPr>
          <w:rFonts w:ascii="Times New Roman" w:hAnsi="Times New Roman" w:cs="Times New Roman"/>
          <w:color w:val="000000" w:themeColor="text1"/>
          <w:sz w:val="24"/>
          <w:szCs w:val="24"/>
        </w:rPr>
        <w:t>.</w:t>
      </w:r>
    </w:p>
    <w:p w14:paraId="28E318BE" w14:textId="77777777" w:rsidR="009B58E8" w:rsidRPr="009B58E8" w:rsidRDefault="009B58E8" w:rsidP="001F685B">
      <w:pPr>
        <w:snapToGrid w:val="0"/>
        <w:spacing w:before="120" w:after="120" w:line="240" w:lineRule="auto"/>
        <w:jc w:val="both"/>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The market size of the transportation and logistics sector in Indonesia shows significant growth potential. According to a report by Ken Research, it is projected to reach $322.4 billion by 2027 with a CAGR of 11.8%. Market segmentation shows the dominance of land transportation (80%), followed by sea transportation (15%) and air transportation (5%). This sector contributed IDR 1,245 trillion in 2023 and is expected to increase to IDR 1,436 trillion in 2024. Although Telkom Indonesia only controls 23% of IT spending, its collaboration with IoT service providers has shown positive results with significant revenue growth and a data usage increase of up to 250%. This reflects a strong market appeal for IoT solutions and strengthens Telkom Indonesia's position in this rapidly growing industry.</w:t>
      </w:r>
    </w:p>
    <w:p w14:paraId="2B39095E" w14:textId="041A5F53" w:rsidR="009B58E8" w:rsidRPr="009B58E8" w:rsidRDefault="009B58E8" w:rsidP="001F685B">
      <w:pPr>
        <w:snapToGrid w:val="0"/>
        <w:spacing w:before="120" w:after="120" w:line="240" w:lineRule="auto"/>
        <w:rPr>
          <w:rFonts w:ascii="Times New Roman" w:eastAsia="Times New Roman" w:hAnsi="Times New Roman" w:cs="Times New Roman"/>
          <w:b/>
          <w:sz w:val="24"/>
        </w:rPr>
      </w:pPr>
      <w:r w:rsidRPr="009B58E8">
        <w:rPr>
          <w:rFonts w:ascii="Times New Roman" w:hAnsi="Times New Roman" w:cs="Times New Roman"/>
          <w:b/>
          <w:sz w:val="24"/>
        </w:rPr>
        <w:t>Identify Actors and Roles in The Business Ecosystem</w:t>
      </w:r>
    </w:p>
    <w:p w14:paraId="1DF8DE6A" w14:textId="2DEAC85A" w:rsidR="001F685B" w:rsidRPr="003A4693" w:rsidRDefault="009B58E8" w:rsidP="003A4693">
      <w:pPr>
        <w:tabs>
          <w:tab w:val="left" w:pos="709"/>
        </w:tabs>
        <w:snapToGrid w:val="0"/>
        <w:spacing w:before="120" w:after="120" w:line="240" w:lineRule="auto"/>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 xml:space="preserve">The actors and roles in the IoT business ecosystem in the transportation sector of Telkom Indonesia include various entities involved in the development, implementation, and utilization of IoT technology to enhance efficiency and service quality, as shown in Table 4. Each actor collaborates as a solution-oriented integrator, working together with internal and external stakeholders to develop IoT solutions that meet business needs and challenges </w:t>
      </w:r>
      <w:r w:rsidRPr="009B58E8">
        <w:rPr>
          <w:rFonts w:ascii="Times New Roman" w:hAnsi="Times New Roman" w:cs="Times New Roman"/>
          <w:bCs/>
          <w:color w:val="000000" w:themeColor="text1"/>
          <w:sz w:val="24"/>
          <w:szCs w:val="24"/>
        </w:rPr>
        <w:fldChar w:fldCharType="begin" w:fldLock="1"/>
      </w:r>
      <w:r w:rsidRPr="009B58E8">
        <w:rPr>
          <w:rFonts w:ascii="Times New Roman" w:hAnsi="Times New Roman" w:cs="Times New Roman"/>
          <w:bCs/>
          <w:color w:val="000000" w:themeColor="text1"/>
          <w:sz w:val="24"/>
          <w:szCs w:val="24"/>
        </w:rPr>
        <w:instrText>ADDIN CSL_CITATION {"citationItems":[{"id":"ITEM-1","itemData":{"DOI":"10.1016/j.ijproman.2019.12.001","ISSN":"02637863","abstract":"External stakeholder engagement is crucial for delivering value to diverse stakeholders in inter-organizational projects, however, it is not straightforward to organize this in a way that adds value. The intra-organizational focus of previous research offers limited insights into the relevant roles, responsibilities, arrangements and activities in inter-organizational contexts. Moreover, comprehensive empirical studies of the phenomenon are rare. This study explicates how internal stakeholders organize external stakeholder engagement in inter-organizational projects. Our multiple-case study of two infrastructure projects in Northern Europe identified three organizing solutions based on governance, values and dynamism. While governance-based solutions provide an overall structure for organizing external stakeholder engagement, value-based solutions ensure genuine cooperation and dynamism-based solutions facilitate timely organizing. The study develops propositions that constitute a model of how external stakeholder engagement can be organized in inter-organizational projects. The findings have implications for project stakeholder management and mainstream stakeholder research.","author":[{"dropping-particle":"","family":"Lehtinen","given":"Jere","non-dropping-particle":"","parse-names":false,"suffix":""},{"dropping-particle":"","family":"Aaltonen","given":"Kirsi","non-dropping-particle":"","parse-names":false,"suffix":""}],"container-title":"International Journal of Project Management","id":"ITEM-1","issue":"2","issued":{"date-parts":[["2020"]]},"page":"85-98","publisher":"Elsevier Ltd","title":"Organizing external stakeholder engagement in inter-organizational projects: Opening the black box","type":"article-journal","volume":"38"},"uris":["http://www.mendeley.com/documents/?uuid=a7ce666b-3ce7-4a5b-a4a0-4b16e686b7ba"]},{"id":"ITEM-2","itemData":{"DOI":"10.1080/0951192X.2020.1775295","ISSN":"13623052","abstract":"In recent years, a revolution named Industry 4.0 has arisen. Industry 4.0 is presented as the integration of new advances in areas such as Cyber-Physical Systems, the Internet of Things and Everything (IoE), Cloud computing, the Internet of Services, Big Data Analysis, Smart Factories, Augmented Reality, among others. Industry 4.0 is not only a new industrial revolution, but also a crucial integration challenge that involves several actors from the IoE, which are people, data, services, and things. This paper proposes an approach to analyze the integration challenges in the context of Industry 4.0 using five integration levels, which are connection, communication, coordination, cooperation, and collaboration (5 C). In that sense, this paper presents a state of the art of recent studies in Industry 4.0 from an integration perspective, categorized according to the 5 C integration levels versus the four actors of IoE. Specifically, this paper considers several works intended to solve problems of autonomic integration in Industry 4.0 at the highest levels of the 5 C integration stack (coordination, cooperation, and collaboration). Also, this paper presents a case study from an integration perspective, which contemplates autonomy, self-organizing, among other aspects, in order to turn a traditional industry into a smart factory regarding the Industry 4.0 concept.","author":[{"dropping-particle":"","family":"Sanchez","given":"Manuel","non-dropping-particle":"","parse-names":false,"suffix":""},{"dropping-particle":"","family":"Exposito","given":"Ernesto","non-dropping-particle":"","parse-names":false,"suffix":""},{"dropping-particle":"","family":"Aguilar","given":"Jose","non-dropping-particle":"","parse-names":false,"suffix":""}],"container-title":"International Journal of Computer Integrated Manufacturing","id":"ITEM-2","issue":"10-11","issued":{"date-parts":[["2020"]]},"page":"1017-1041","publisher":"Taylor &amp; Francis","title":"Industry 4.0: survey from a system integration perspective","type":"article-journal","volume":"33"},"uris":["http://www.mendeley.com/documents/?uuid=e52ea5e9-c2f9-43fc-9271-04732e7a9f3e"]}],"mendeley":{"formattedCitation":"(Lehtinen &amp; Aaltonen, 2020; Sanchez et al., 2020)","plainTextFormattedCitation":"(Lehtinen &amp; Aaltonen, 2020; Sanchez et al., 2020)","previouslyFormattedCitation":"(Lehtinen &amp; Aaltonen, 2020; Sanchez et al., 2020)"},"properties":{"noteIndex":0},"schema":"https://github.com/citation-style-language/schema/raw/master/csl-citation.json"}</w:instrText>
      </w:r>
      <w:r w:rsidRPr="009B58E8">
        <w:rPr>
          <w:rFonts w:ascii="Times New Roman" w:hAnsi="Times New Roman" w:cs="Times New Roman"/>
          <w:bCs/>
          <w:color w:val="000000" w:themeColor="text1"/>
          <w:sz w:val="24"/>
          <w:szCs w:val="24"/>
        </w:rPr>
        <w:fldChar w:fldCharType="separate"/>
      </w:r>
      <w:r w:rsidRPr="009B58E8">
        <w:rPr>
          <w:rFonts w:ascii="Times New Roman" w:hAnsi="Times New Roman" w:cs="Times New Roman"/>
          <w:bCs/>
          <w:noProof/>
          <w:color w:val="000000" w:themeColor="text1"/>
          <w:sz w:val="24"/>
          <w:szCs w:val="24"/>
        </w:rPr>
        <w:t>(Lehtinen &amp; Aaltonen, 2020; Sanchez et al., 2020)</w:t>
      </w:r>
      <w:r w:rsidRPr="009B58E8">
        <w:rPr>
          <w:rFonts w:ascii="Times New Roman" w:hAnsi="Times New Roman" w:cs="Times New Roman"/>
          <w:bCs/>
          <w:color w:val="000000" w:themeColor="text1"/>
          <w:sz w:val="24"/>
          <w:szCs w:val="24"/>
        </w:rPr>
        <w:fldChar w:fldCharType="end"/>
      </w:r>
      <w:r w:rsidRPr="009B58E8">
        <w:rPr>
          <w:rFonts w:ascii="Times New Roman" w:hAnsi="Times New Roman" w:cs="Times New Roman"/>
          <w:bCs/>
          <w:color w:val="000000" w:themeColor="text1"/>
          <w:sz w:val="24"/>
          <w:szCs w:val="24"/>
        </w:rPr>
        <w:t>.</w:t>
      </w:r>
    </w:p>
    <w:p w14:paraId="3105F795" w14:textId="5907DEBD" w:rsidR="009B58E8" w:rsidRPr="009B58E8" w:rsidRDefault="009B58E8" w:rsidP="001F685B">
      <w:pPr>
        <w:snapToGrid w:val="0"/>
        <w:spacing w:before="120" w:after="120" w:line="240" w:lineRule="auto"/>
        <w:jc w:val="center"/>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Table 4. Actors and Their Roles Based on Business Segmentation in the IoT Transportation Business Ecosystem</w:t>
      </w:r>
    </w:p>
    <w:tbl>
      <w:tblPr>
        <w:tblStyle w:val="TableGrid"/>
        <w:tblW w:w="9072" w:type="dxa"/>
        <w:tblInd w:w="108" w:type="dxa"/>
        <w:tblLook w:val="04A0" w:firstRow="1" w:lastRow="0" w:firstColumn="1" w:lastColumn="0" w:noHBand="0" w:noVBand="1"/>
      </w:tblPr>
      <w:tblGrid>
        <w:gridCol w:w="2155"/>
        <w:gridCol w:w="4962"/>
        <w:gridCol w:w="1955"/>
      </w:tblGrid>
      <w:tr w:rsidR="009B58E8" w:rsidRPr="009B58E8" w14:paraId="606AA4BD" w14:textId="77777777" w:rsidTr="001F685B">
        <w:tc>
          <w:tcPr>
            <w:tcW w:w="2155" w:type="dxa"/>
            <w:vAlign w:val="center"/>
          </w:tcPr>
          <w:p w14:paraId="4CF7D5DC" w14:textId="77777777" w:rsidR="009B58E8" w:rsidRPr="009B58E8" w:rsidRDefault="009B58E8" w:rsidP="001F685B">
            <w:pPr>
              <w:tabs>
                <w:tab w:val="left" w:pos="709"/>
              </w:tabs>
              <w:jc w:val="center"/>
              <w:rPr>
                <w:rFonts w:ascii="Times New Roman" w:hAnsi="Times New Roman" w:cs="Times New Roman"/>
                <w:b/>
                <w:bCs/>
                <w:color w:val="000000" w:themeColor="text1"/>
                <w:sz w:val="24"/>
                <w:szCs w:val="24"/>
              </w:rPr>
            </w:pPr>
            <w:r w:rsidRPr="009B58E8">
              <w:rPr>
                <w:rFonts w:ascii="Times New Roman" w:hAnsi="Times New Roman" w:cs="Times New Roman"/>
                <w:b/>
                <w:bCs/>
                <w:color w:val="000000" w:themeColor="text1"/>
                <w:sz w:val="24"/>
                <w:szCs w:val="24"/>
              </w:rPr>
              <w:t>Supply Chain Segment</w:t>
            </w:r>
          </w:p>
        </w:tc>
        <w:tc>
          <w:tcPr>
            <w:tcW w:w="4962" w:type="dxa"/>
            <w:vAlign w:val="center"/>
          </w:tcPr>
          <w:p w14:paraId="5AD444BE" w14:textId="77777777" w:rsidR="009B58E8" w:rsidRPr="009B58E8" w:rsidRDefault="009B58E8" w:rsidP="001F685B">
            <w:pPr>
              <w:tabs>
                <w:tab w:val="left" w:pos="709"/>
              </w:tabs>
              <w:jc w:val="center"/>
              <w:rPr>
                <w:rFonts w:ascii="Times New Roman" w:hAnsi="Times New Roman" w:cs="Times New Roman"/>
                <w:b/>
                <w:bCs/>
                <w:color w:val="000000" w:themeColor="text1"/>
                <w:sz w:val="24"/>
                <w:szCs w:val="24"/>
              </w:rPr>
            </w:pPr>
            <w:r w:rsidRPr="009B58E8">
              <w:rPr>
                <w:rFonts w:ascii="Times New Roman" w:hAnsi="Times New Roman" w:cs="Times New Roman"/>
                <w:b/>
                <w:bCs/>
                <w:color w:val="000000" w:themeColor="text1"/>
                <w:sz w:val="24"/>
                <w:szCs w:val="24"/>
              </w:rPr>
              <w:t>Roles</w:t>
            </w:r>
          </w:p>
        </w:tc>
        <w:tc>
          <w:tcPr>
            <w:tcW w:w="1955" w:type="dxa"/>
            <w:vAlign w:val="center"/>
          </w:tcPr>
          <w:p w14:paraId="1C5E157A" w14:textId="77777777" w:rsidR="009B58E8" w:rsidRPr="009B58E8" w:rsidRDefault="009B58E8" w:rsidP="001F685B">
            <w:pPr>
              <w:tabs>
                <w:tab w:val="left" w:pos="709"/>
              </w:tabs>
              <w:jc w:val="center"/>
              <w:rPr>
                <w:rFonts w:ascii="Times New Roman" w:hAnsi="Times New Roman" w:cs="Times New Roman"/>
                <w:b/>
                <w:bCs/>
                <w:color w:val="000000" w:themeColor="text1"/>
                <w:sz w:val="24"/>
                <w:szCs w:val="24"/>
              </w:rPr>
            </w:pPr>
            <w:r w:rsidRPr="009B58E8">
              <w:rPr>
                <w:rFonts w:ascii="Times New Roman" w:hAnsi="Times New Roman" w:cs="Times New Roman"/>
                <w:b/>
                <w:bCs/>
                <w:color w:val="000000" w:themeColor="text1"/>
                <w:sz w:val="24"/>
                <w:szCs w:val="24"/>
              </w:rPr>
              <w:t>Actor</w:t>
            </w:r>
          </w:p>
        </w:tc>
      </w:tr>
      <w:tr w:rsidR="009B58E8" w:rsidRPr="009B58E8" w14:paraId="1A90723B" w14:textId="77777777" w:rsidTr="001F685B">
        <w:tc>
          <w:tcPr>
            <w:tcW w:w="2155" w:type="dxa"/>
            <w:vAlign w:val="center"/>
          </w:tcPr>
          <w:p w14:paraId="763EC212" w14:textId="77777777" w:rsidR="009B58E8" w:rsidRPr="009B58E8" w:rsidRDefault="009B58E8" w:rsidP="001F685B">
            <w:pPr>
              <w:tabs>
                <w:tab w:val="left" w:pos="709"/>
              </w:tabs>
              <w:jc w:val="center"/>
              <w:rPr>
                <w:rFonts w:ascii="Times New Roman" w:hAnsi="Times New Roman" w:cs="Times New Roman"/>
                <w:bCs/>
                <w:color w:val="000000" w:themeColor="text1"/>
                <w:sz w:val="24"/>
                <w:szCs w:val="24"/>
              </w:rPr>
            </w:pPr>
            <w:r w:rsidRPr="009B58E8">
              <w:rPr>
                <w:rFonts w:ascii="Times New Roman" w:hAnsi="Times New Roman" w:cs="Times New Roman"/>
                <w:iCs/>
                <w:color w:val="000000" w:themeColor="text1"/>
                <w:sz w:val="24"/>
                <w:szCs w:val="24"/>
              </w:rPr>
              <w:t>Supplier</w:t>
            </w:r>
          </w:p>
        </w:tc>
        <w:tc>
          <w:tcPr>
            <w:tcW w:w="4962" w:type="dxa"/>
          </w:tcPr>
          <w:p w14:paraId="60A81D74" w14:textId="77777777" w:rsidR="009B58E8" w:rsidRPr="009B58E8" w:rsidRDefault="009B58E8" w:rsidP="009B58E8">
            <w:pPr>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Providing a supply of IoT devices such as GPS sensors, gyroscopes, accelerometers, and communication modules. Each device from various suppliers also provides a Software Development Kit (SDK) to enable integration.</w:t>
            </w:r>
          </w:p>
        </w:tc>
        <w:tc>
          <w:tcPr>
            <w:tcW w:w="1955" w:type="dxa"/>
            <w:vAlign w:val="center"/>
          </w:tcPr>
          <w:p w14:paraId="2C7EE127" w14:textId="77777777" w:rsidR="009B58E8" w:rsidRPr="009B58E8" w:rsidRDefault="009B58E8" w:rsidP="001F685B">
            <w:pPr>
              <w:jc w:val="center"/>
              <w:rPr>
                <w:rFonts w:ascii="Times New Roman" w:hAnsi="Times New Roman" w:cs="Times New Roman"/>
                <w:bCs/>
                <w:color w:val="000000" w:themeColor="text1"/>
                <w:sz w:val="24"/>
                <w:szCs w:val="24"/>
              </w:rPr>
            </w:pPr>
            <w:r w:rsidRPr="009B58E8">
              <w:rPr>
                <w:rFonts w:ascii="Times New Roman" w:hAnsi="Times New Roman" w:cs="Times New Roman"/>
                <w:iCs/>
                <w:color w:val="000000" w:themeColor="text1"/>
                <w:sz w:val="24"/>
                <w:szCs w:val="24"/>
              </w:rPr>
              <w:t>Device Provider, Network Provider</w:t>
            </w:r>
          </w:p>
        </w:tc>
      </w:tr>
      <w:tr w:rsidR="009B58E8" w:rsidRPr="009B58E8" w14:paraId="1B2CEA33" w14:textId="77777777" w:rsidTr="001F685B">
        <w:tc>
          <w:tcPr>
            <w:tcW w:w="2155" w:type="dxa"/>
            <w:vAlign w:val="center"/>
          </w:tcPr>
          <w:p w14:paraId="327B0BD7" w14:textId="77777777" w:rsidR="009B58E8" w:rsidRPr="009B58E8" w:rsidRDefault="009B58E8" w:rsidP="001F685B">
            <w:pPr>
              <w:tabs>
                <w:tab w:val="left" w:pos="709"/>
              </w:tabs>
              <w:jc w:val="center"/>
              <w:rPr>
                <w:rFonts w:ascii="Times New Roman" w:hAnsi="Times New Roman" w:cs="Times New Roman"/>
                <w:bCs/>
                <w:color w:val="000000" w:themeColor="text1"/>
                <w:sz w:val="24"/>
                <w:szCs w:val="24"/>
              </w:rPr>
            </w:pPr>
            <w:r w:rsidRPr="009B58E8">
              <w:rPr>
                <w:rFonts w:ascii="Times New Roman" w:hAnsi="Times New Roman" w:cs="Times New Roman"/>
                <w:iCs/>
                <w:color w:val="000000" w:themeColor="text1"/>
                <w:sz w:val="24"/>
                <w:szCs w:val="24"/>
              </w:rPr>
              <w:lastRenderedPageBreak/>
              <w:t>Service Provider</w:t>
            </w:r>
          </w:p>
        </w:tc>
        <w:tc>
          <w:tcPr>
            <w:tcW w:w="4962" w:type="dxa"/>
          </w:tcPr>
          <w:p w14:paraId="3581F8BE" w14:textId="77777777" w:rsidR="009B58E8" w:rsidRPr="009B58E8" w:rsidRDefault="009B58E8" w:rsidP="009B58E8">
            <w:pPr>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Providing, maintaining, and operating end-to-end IoT solution services with an integrated system from IoT devices, IoT platforms to customer interfaces in the form of customized applications.</w:t>
            </w:r>
          </w:p>
        </w:tc>
        <w:tc>
          <w:tcPr>
            <w:tcW w:w="1955" w:type="dxa"/>
            <w:vAlign w:val="center"/>
          </w:tcPr>
          <w:p w14:paraId="56306F5B" w14:textId="77777777" w:rsidR="009B58E8" w:rsidRPr="009B58E8" w:rsidRDefault="009B58E8" w:rsidP="001F685B">
            <w:pPr>
              <w:jc w:val="center"/>
              <w:rPr>
                <w:rFonts w:ascii="Times New Roman" w:hAnsi="Times New Roman" w:cs="Times New Roman"/>
                <w:bCs/>
                <w:color w:val="000000" w:themeColor="text1"/>
                <w:sz w:val="24"/>
                <w:szCs w:val="24"/>
              </w:rPr>
            </w:pPr>
            <w:r w:rsidRPr="009B58E8">
              <w:rPr>
                <w:rFonts w:ascii="Times New Roman" w:hAnsi="Times New Roman" w:cs="Times New Roman"/>
                <w:iCs/>
                <w:color w:val="000000" w:themeColor="text1"/>
                <w:sz w:val="24"/>
                <w:szCs w:val="24"/>
              </w:rPr>
              <w:t>Solution Provider, Technical team, App Developer</w:t>
            </w:r>
          </w:p>
        </w:tc>
      </w:tr>
      <w:tr w:rsidR="009B58E8" w:rsidRPr="009B58E8" w14:paraId="6DD6DDFC" w14:textId="77777777" w:rsidTr="001F685B">
        <w:tc>
          <w:tcPr>
            <w:tcW w:w="2155" w:type="dxa"/>
            <w:vAlign w:val="center"/>
          </w:tcPr>
          <w:p w14:paraId="25216ED6" w14:textId="77777777" w:rsidR="009B58E8" w:rsidRPr="009B58E8" w:rsidRDefault="009B58E8" w:rsidP="001F685B">
            <w:pPr>
              <w:tabs>
                <w:tab w:val="left" w:pos="709"/>
              </w:tabs>
              <w:jc w:val="center"/>
              <w:rPr>
                <w:rFonts w:ascii="Times New Roman" w:hAnsi="Times New Roman" w:cs="Times New Roman"/>
                <w:bCs/>
                <w:color w:val="000000" w:themeColor="text1"/>
                <w:sz w:val="24"/>
                <w:szCs w:val="24"/>
              </w:rPr>
            </w:pPr>
            <w:r w:rsidRPr="009B58E8">
              <w:rPr>
                <w:rFonts w:ascii="Times New Roman" w:hAnsi="Times New Roman" w:cs="Times New Roman"/>
                <w:iCs/>
                <w:color w:val="000000" w:themeColor="text1"/>
                <w:sz w:val="24"/>
                <w:szCs w:val="24"/>
              </w:rPr>
              <w:t>Vehicle Owner</w:t>
            </w:r>
          </w:p>
        </w:tc>
        <w:tc>
          <w:tcPr>
            <w:tcW w:w="4962" w:type="dxa"/>
          </w:tcPr>
          <w:p w14:paraId="0EA5C616" w14:textId="77777777" w:rsidR="009B58E8" w:rsidRPr="009B58E8" w:rsidRDefault="009B58E8" w:rsidP="009B58E8">
            <w:pPr>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Providing a fleet of vehicles that will be equipped with IoT devices to collect, monitor, and transmit data.</w:t>
            </w:r>
          </w:p>
        </w:tc>
        <w:tc>
          <w:tcPr>
            <w:tcW w:w="1955" w:type="dxa"/>
            <w:vAlign w:val="center"/>
          </w:tcPr>
          <w:p w14:paraId="08ACF244" w14:textId="77777777" w:rsidR="009B58E8" w:rsidRPr="009B58E8" w:rsidRDefault="009B58E8" w:rsidP="001F685B">
            <w:pPr>
              <w:jc w:val="center"/>
              <w:rPr>
                <w:rFonts w:ascii="Times New Roman" w:hAnsi="Times New Roman" w:cs="Times New Roman"/>
                <w:bCs/>
                <w:color w:val="000000" w:themeColor="text1"/>
                <w:sz w:val="24"/>
                <w:szCs w:val="24"/>
              </w:rPr>
            </w:pPr>
            <w:r w:rsidRPr="009B58E8">
              <w:rPr>
                <w:rFonts w:ascii="Times New Roman" w:hAnsi="Times New Roman" w:cs="Times New Roman"/>
                <w:iCs/>
                <w:color w:val="000000" w:themeColor="text1"/>
                <w:sz w:val="24"/>
                <w:szCs w:val="24"/>
              </w:rPr>
              <w:t>Customer</w:t>
            </w:r>
          </w:p>
        </w:tc>
      </w:tr>
      <w:tr w:rsidR="009B58E8" w:rsidRPr="009B58E8" w14:paraId="4B3F1100" w14:textId="77777777" w:rsidTr="001F685B">
        <w:tc>
          <w:tcPr>
            <w:tcW w:w="2155" w:type="dxa"/>
            <w:vAlign w:val="center"/>
          </w:tcPr>
          <w:p w14:paraId="670F1118" w14:textId="77777777" w:rsidR="009B58E8" w:rsidRPr="009B58E8" w:rsidRDefault="009B58E8" w:rsidP="001F685B">
            <w:pPr>
              <w:tabs>
                <w:tab w:val="left" w:pos="709"/>
              </w:tabs>
              <w:jc w:val="center"/>
              <w:rPr>
                <w:rFonts w:ascii="Times New Roman" w:hAnsi="Times New Roman" w:cs="Times New Roman"/>
                <w:bCs/>
                <w:color w:val="000000" w:themeColor="text1"/>
                <w:sz w:val="24"/>
                <w:szCs w:val="24"/>
              </w:rPr>
            </w:pPr>
            <w:r w:rsidRPr="009B58E8">
              <w:rPr>
                <w:rFonts w:ascii="Times New Roman" w:hAnsi="Times New Roman" w:cs="Times New Roman"/>
                <w:iCs/>
                <w:color w:val="000000" w:themeColor="text1"/>
                <w:sz w:val="24"/>
                <w:szCs w:val="24"/>
              </w:rPr>
              <w:t>Customer</w:t>
            </w:r>
          </w:p>
        </w:tc>
        <w:tc>
          <w:tcPr>
            <w:tcW w:w="4962" w:type="dxa"/>
          </w:tcPr>
          <w:p w14:paraId="480FABFF" w14:textId="77777777" w:rsidR="009B58E8" w:rsidRPr="009B58E8" w:rsidRDefault="009B58E8" w:rsidP="009B58E8">
            <w:pPr>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Customers from various backgrounds, including the general public as users of public transportation, government or institutions as managers of public transportation services, and fleet owners who operate public transportation.</w:t>
            </w:r>
          </w:p>
        </w:tc>
        <w:tc>
          <w:tcPr>
            <w:tcW w:w="1955" w:type="dxa"/>
            <w:vAlign w:val="center"/>
          </w:tcPr>
          <w:p w14:paraId="1C462D28" w14:textId="77777777" w:rsidR="009B58E8" w:rsidRPr="009B58E8" w:rsidRDefault="009B58E8" w:rsidP="001F685B">
            <w:pPr>
              <w:jc w:val="center"/>
              <w:rPr>
                <w:rFonts w:ascii="Times New Roman" w:hAnsi="Times New Roman" w:cs="Times New Roman"/>
                <w:bCs/>
                <w:color w:val="000000" w:themeColor="text1"/>
                <w:sz w:val="24"/>
                <w:szCs w:val="24"/>
              </w:rPr>
            </w:pPr>
            <w:r w:rsidRPr="009B58E8">
              <w:rPr>
                <w:rFonts w:ascii="Times New Roman" w:hAnsi="Times New Roman" w:cs="Times New Roman"/>
                <w:iCs/>
                <w:color w:val="000000" w:themeColor="text1"/>
                <w:sz w:val="24"/>
                <w:szCs w:val="24"/>
              </w:rPr>
              <w:t>Customer</w:t>
            </w:r>
          </w:p>
        </w:tc>
      </w:tr>
    </w:tbl>
    <w:p w14:paraId="2BF3C2B3" w14:textId="77777777" w:rsidR="009B58E8" w:rsidRPr="009B58E8" w:rsidRDefault="009B58E8" w:rsidP="001F685B">
      <w:pPr>
        <w:tabs>
          <w:tab w:val="left" w:pos="709"/>
        </w:tabs>
        <w:snapToGrid w:val="0"/>
        <w:spacing w:before="120" w:after="120" w:line="240" w:lineRule="auto"/>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 xml:space="preserve">Based on the results of the actors mapping and their roles based on business segmentation in the </w:t>
      </w:r>
      <w:proofErr w:type="spellStart"/>
      <w:r w:rsidRPr="009B58E8">
        <w:rPr>
          <w:rFonts w:ascii="Times New Roman" w:hAnsi="Times New Roman" w:cs="Times New Roman"/>
          <w:bCs/>
          <w:color w:val="000000" w:themeColor="text1"/>
          <w:sz w:val="24"/>
          <w:szCs w:val="24"/>
        </w:rPr>
        <w:t>iot</w:t>
      </w:r>
      <w:proofErr w:type="spellEnd"/>
      <w:r w:rsidRPr="009B58E8">
        <w:rPr>
          <w:rFonts w:ascii="Times New Roman" w:hAnsi="Times New Roman" w:cs="Times New Roman"/>
          <w:bCs/>
          <w:color w:val="000000" w:themeColor="text1"/>
          <w:sz w:val="24"/>
          <w:szCs w:val="24"/>
        </w:rPr>
        <w:t xml:space="preserve"> transportation business ecosystem, as shown in Table 4, Telkom Indonesia adopts a partnership business model to develop IoT solutions in the transportation sector, acting as an intermediary between operators and customers. They offer business models such as revenue sharing, one-time charge, and managed service. With revenue sharing, the revenue from the services is shared with partners, while a one-time charge allows customers to pay a fee once for specific services </w:t>
      </w:r>
      <w:r w:rsidRPr="009B58E8">
        <w:rPr>
          <w:rFonts w:ascii="Times New Roman" w:hAnsi="Times New Roman" w:cs="Times New Roman"/>
          <w:bCs/>
          <w:color w:val="000000" w:themeColor="text1"/>
          <w:sz w:val="24"/>
          <w:szCs w:val="24"/>
        </w:rPr>
        <w:fldChar w:fldCharType="begin" w:fldLock="1"/>
      </w:r>
      <w:r w:rsidRPr="009B58E8">
        <w:rPr>
          <w:rFonts w:ascii="Times New Roman" w:hAnsi="Times New Roman" w:cs="Times New Roman"/>
          <w:bCs/>
          <w:color w:val="000000" w:themeColor="text1"/>
          <w:sz w:val="24"/>
          <w:szCs w:val="24"/>
        </w:rPr>
        <w:instrText>ADDIN CSL_CITATION {"citationItems":[{"id":"ITEM-1","itemData":{"DOI":"10.1109/TEM.2021.3053386","ISSN":"15580040","abstract":"Manufacturing companies are currently undergoing a digitalization transformation in which digitally enabled, new, and innovative advanced service offerings are being launched. These so-called 'digital services' represent a shift in the business logic of manufacturing firms, from up-front product sales to advanced service contracts. This business model shift has profound implications for cost structures, risk management, and revenue streams, providing manufacturing companies with the key challenge of rethinking how to capture value. Using a multiple case study of 11 companies, the purpose of this article is to enhance knowledge on how to design new revenue models for digital services. Results reveal a revenue model design framework of key phases and activities that carries implications for the emerging literature on digital servitization, as well as the business model innovation literature. The findings reveal a highly customer-centric, iterative, and agile process where close collaboration with key customers during the early stages guides the framing of revenue models for digital services. For practitioners, it provides hands-on advice on how to implement the design, development, and scaling processes for revenue models in the context of new digital services.","author":[{"dropping-particle":"","family":"Linde","given":"Lina","non-dropping-particle":"","parse-names":false,"suffix":""},{"dropping-particle":"","family":"Frishammar","given":"Johan","non-dropping-particle":"","parse-names":false,"suffix":""},{"dropping-particle":"","family":"Parida","given":"Vinit","non-dropping-particle":"","parse-names":false,"suffix":""}],"container-title":"IEEE Transactions on Engineering Management","id":"ITEM-1","issue":"1","issued":{"date-parts":[["2023"]]},"page":"82-97","title":"Revenue Models for Digital Servitization: A Value Capture Framework for Designing, Developing, and Scaling Digital Services","type":"article-journal","volume":"70"},"uris":["http://www.mendeley.com/documents/?uuid=07487117-207d-4d39-b855-511e33602235"]},{"id":"ITEM-2","itemData":{"DOI":"10.1016/j.jbusres.2017.02.002","ISSN":"01482963","abstract":"The sharing economy has shifted the way in which goods and services are consumed - from exclusive ownership toward collective usage with economic benefits. Current literature addresses consumer motives to participate in commercial sharing of goods and services with a physical manifestation. In contrast, this study shows the relevance of intangibility for sharing services and empirically examines consumers' motives, perceptions, and experiences in the context of a new insurance model. A qualitative investigation reveals three main characteristics of intangible service sharing: financial benefits as a main motivator for participation, emerging weak social and symbolic values in a controlled environment, and a network of strangers as a crucial precondition for sharing. The work contributes to research on the sharing economy as well as to managerial considerations for the design of sharing services. In particular, managers need to balance between community development and the preservation of anonymity when promoting sharing services based on intangible elements.","author":[{"dropping-particle":"","family":"Milanova","given":"Veselina","non-dropping-particle":"","parse-names":false,"suffix":""},{"dropping-particle":"","family":"Maas","given":"Peter","non-dropping-particle":"","parse-names":false,"suffix":""}],"container-title":"Journal of Business Research","id":"ITEM-2","issued":{"date-parts":[["2017"]]},"page":"159-171","publisher":"Elsevier Inc.","title":"Sharing intangibles: Uncovering individual motives for engagement in a sharing service setting","type":"article-journal","volume":"75"},"uris":["http://www.mendeley.com/documents/?uuid=d0244cf8-cfd1-4e58-bb9e-7971dc7b5542"]}],"mendeley":{"formattedCitation":"(Linde et al., 2023; Milanova &amp; Maas, 2017)","plainTextFormattedCitation":"(Linde et al., 2023; Milanova &amp; Maas, 2017)","previouslyFormattedCitation":"(Linde et al., 2023; Milanova &amp; Maas, 2017)"},"properties":{"noteIndex":0},"schema":"https://github.com/citation-style-language/schema/raw/master/csl-citation.json"}</w:instrText>
      </w:r>
      <w:r w:rsidRPr="009B58E8">
        <w:rPr>
          <w:rFonts w:ascii="Times New Roman" w:hAnsi="Times New Roman" w:cs="Times New Roman"/>
          <w:bCs/>
          <w:color w:val="000000" w:themeColor="text1"/>
          <w:sz w:val="24"/>
          <w:szCs w:val="24"/>
        </w:rPr>
        <w:fldChar w:fldCharType="separate"/>
      </w:r>
      <w:r w:rsidRPr="009B58E8">
        <w:rPr>
          <w:rFonts w:ascii="Times New Roman" w:hAnsi="Times New Roman" w:cs="Times New Roman"/>
          <w:bCs/>
          <w:noProof/>
          <w:color w:val="000000" w:themeColor="text1"/>
          <w:sz w:val="24"/>
          <w:szCs w:val="24"/>
        </w:rPr>
        <w:t>(Linde et al., 2023; Milanova &amp; Maas, 2017)</w:t>
      </w:r>
      <w:r w:rsidRPr="009B58E8">
        <w:rPr>
          <w:rFonts w:ascii="Times New Roman" w:hAnsi="Times New Roman" w:cs="Times New Roman"/>
          <w:bCs/>
          <w:color w:val="000000" w:themeColor="text1"/>
          <w:sz w:val="24"/>
          <w:szCs w:val="24"/>
        </w:rPr>
        <w:fldChar w:fldCharType="end"/>
      </w:r>
      <w:r w:rsidRPr="009B58E8">
        <w:rPr>
          <w:rFonts w:ascii="Times New Roman" w:hAnsi="Times New Roman" w:cs="Times New Roman"/>
          <w:bCs/>
          <w:color w:val="000000" w:themeColor="text1"/>
          <w:sz w:val="24"/>
          <w:szCs w:val="24"/>
        </w:rPr>
        <w:t>. Managed services encompass the management of infrastructure and devices, providing customers with the flexibility to choose the solutions that suit them best.</w:t>
      </w:r>
    </w:p>
    <w:p w14:paraId="418112DC" w14:textId="22308716" w:rsidR="009B58E8" w:rsidRPr="009B58E8" w:rsidRDefault="009B58E8" w:rsidP="001F685B">
      <w:pPr>
        <w:tabs>
          <w:tab w:val="left" w:pos="709"/>
        </w:tabs>
        <w:snapToGrid w:val="0"/>
        <w:spacing w:before="120" w:after="120" w:line="240" w:lineRule="auto"/>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Telkom Indonesia also applies vertical and horizontal approaches in providing IoT solutions. The vertical approach offers end-to-end solutions, from hardware to applications, specifically tailored for transportation needs. The horizontal approach allows integration with various existing platforms and infrastructures. Both support the development of fleet management, with the vertical approach focusing on fleet management and the horizontal approach integrating with public transportation systems. This collaboration positions Telkom Indonesia as a key player in providing efficient and innovative IoT solutions, supported by government regulations to enhance the effectiveness of development.</w:t>
      </w:r>
    </w:p>
    <w:p w14:paraId="0FBD66DB" w14:textId="66EA6ECB" w:rsidR="009B58E8" w:rsidRPr="009B58E8" w:rsidRDefault="009B58E8" w:rsidP="001F685B">
      <w:pPr>
        <w:snapToGrid w:val="0"/>
        <w:spacing w:before="120" w:after="120" w:line="240" w:lineRule="auto"/>
        <w:rPr>
          <w:rFonts w:ascii="Times New Roman" w:eastAsia="Times New Roman" w:hAnsi="Times New Roman" w:cs="Times New Roman"/>
          <w:b/>
          <w:sz w:val="24"/>
        </w:rPr>
      </w:pPr>
      <w:r w:rsidRPr="009B58E8">
        <w:rPr>
          <w:rFonts w:ascii="Times New Roman" w:hAnsi="Times New Roman" w:cs="Times New Roman"/>
          <w:b/>
          <w:sz w:val="24"/>
        </w:rPr>
        <w:t>Identify the Value of Each Actor in The Business Ecosystem</w:t>
      </w:r>
    </w:p>
    <w:p w14:paraId="0E23CE7C" w14:textId="17168C4A" w:rsidR="001F685B" w:rsidRPr="0076257F" w:rsidRDefault="009B58E8" w:rsidP="0076257F">
      <w:pPr>
        <w:tabs>
          <w:tab w:val="left" w:pos="709"/>
        </w:tabs>
        <w:snapToGrid w:val="0"/>
        <w:spacing w:before="120" w:after="120" w:line="240" w:lineRule="auto"/>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 xml:space="preserve">Each actor, besides having a specific role, also has value that they offer in supporting their productivity within a business ecosystem. This value encompasses technical skills, innovation, and relevant experience, all of which contribute to the creation of more effective and efficient solutions </w:t>
      </w:r>
      <w:r w:rsidRPr="009B58E8">
        <w:rPr>
          <w:rFonts w:ascii="Times New Roman" w:hAnsi="Times New Roman" w:cs="Times New Roman"/>
          <w:bCs/>
          <w:color w:val="000000" w:themeColor="text1"/>
          <w:sz w:val="24"/>
          <w:szCs w:val="24"/>
        </w:rPr>
        <w:fldChar w:fldCharType="begin" w:fldLock="1"/>
      </w:r>
      <w:r w:rsidRPr="009B58E8">
        <w:rPr>
          <w:rFonts w:ascii="Times New Roman" w:hAnsi="Times New Roman" w:cs="Times New Roman"/>
          <w:bCs/>
          <w:color w:val="000000" w:themeColor="text1"/>
          <w:sz w:val="24"/>
          <w:szCs w:val="24"/>
        </w:rPr>
        <w:instrText>ADDIN CSL_CITATION {"citationItems":[{"id":"ITEM-1","itemData":{"DOI":"10.1016/j.techfore.2020.120024","ISSN":"00401625","abstract":"Technological innovations are increasing the opportunities to develop technically and economically feasible Smart Products. However, the development of Smart Products requires knowledge and capabilities that single companies usually do not possess, thus creating new opportunities for cooperation through the establishment of innovation ecosystems focused on Smart Products. Hence, this study aims at understanding possible configurations for these ecosystems by considering the required characteristics they should display to allow the development of Smart Products from their early stages. We conducted a case study in an electro-electronic and automation industrial cluster of 120 small and medium-sized enterprises (SMEs), based on 37 interviews with key participants in the ecosystem: 15 SMEs executives, 8 academics, 2 R&amp;D center representatives, 8 large manufacturing customers, 3 business associations and 1 state government representative. As a result, we developed a conceptual framework that presents the required characteristics of an innovation ecosystem to offer Smart Products, and discloses the relationships among these characteristics.","author":[{"dropping-particle":"","family":"Kahle","given":"Júlia Hofmeister","non-dropping-particle":"","parse-names":false,"suffix":""},{"dropping-particle":"","family":"Marcon","given":"Érico","non-dropping-particle":"","parse-names":false,"suffix":""},{"dropping-particle":"","family":"Ghezzi","given":"Antonio","non-dropping-particle":"","parse-names":false,"suffix":""},{"dropping-particle":"","family":"Frank","given":"Alejandro G.","non-dropping-particle":"","parse-names":false,"suffix":""}],"container-title":"Technological Forecasting and Social Change","id":"ITEM-1","issued":{"date-parts":[["2020"]]},"page":"1-14","publisher":"Elsevier","title":"Smart Products value creation in SMEs innovation ecosystems","type":"article-journal","volume":"156"},"uris":["http://www.mendeley.com/documents/?uuid=73d59ca4-6760-483a-9f3c-29fc9e07b494"]}],"mendeley":{"formattedCitation":"(Kahle et al., 2020)","plainTextFormattedCitation":"(Kahle et al., 2020)","previouslyFormattedCitation":"(Kahle et al., 2020)"},"properties":{"noteIndex":0},"schema":"https://github.com/citation-style-language/schema/raw/master/csl-citation.json"}</w:instrText>
      </w:r>
      <w:r w:rsidRPr="009B58E8">
        <w:rPr>
          <w:rFonts w:ascii="Times New Roman" w:hAnsi="Times New Roman" w:cs="Times New Roman"/>
          <w:bCs/>
          <w:color w:val="000000" w:themeColor="text1"/>
          <w:sz w:val="24"/>
          <w:szCs w:val="24"/>
        </w:rPr>
        <w:fldChar w:fldCharType="separate"/>
      </w:r>
      <w:r w:rsidRPr="009B58E8">
        <w:rPr>
          <w:rFonts w:ascii="Times New Roman" w:hAnsi="Times New Roman" w:cs="Times New Roman"/>
          <w:bCs/>
          <w:noProof/>
          <w:color w:val="000000" w:themeColor="text1"/>
          <w:sz w:val="24"/>
          <w:szCs w:val="24"/>
        </w:rPr>
        <w:t>(Kahle et al., 2020)</w:t>
      </w:r>
      <w:r w:rsidRPr="009B58E8">
        <w:rPr>
          <w:rFonts w:ascii="Times New Roman" w:hAnsi="Times New Roman" w:cs="Times New Roman"/>
          <w:bCs/>
          <w:color w:val="000000" w:themeColor="text1"/>
          <w:sz w:val="24"/>
          <w:szCs w:val="24"/>
        </w:rPr>
        <w:fldChar w:fldCharType="end"/>
      </w:r>
      <w:r w:rsidRPr="009B58E8">
        <w:rPr>
          <w:rFonts w:ascii="Times New Roman" w:hAnsi="Times New Roman" w:cs="Times New Roman"/>
          <w:bCs/>
          <w:color w:val="000000" w:themeColor="text1"/>
          <w:sz w:val="24"/>
          <w:szCs w:val="24"/>
        </w:rPr>
        <w:t>. In the case study of the IoT business ecosystem in the transportation sector at Telkom Indonesia, a value is generated from innovative solutions that enhance operational efficiency, security, and sustainability, as shown in Table 5.</w:t>
      </w:r>
    </w:p>
    <w:p w14:paraId="0472C7CD" w14:textId="1EE3398E" w:rsidR="009B58E8" w:rsidRPr="009B58E8" w:rsidRDefault="009B58E8" w:rsidP="001F685B">
      <w:pPr>
        <w:snapToGrid w:val="0"/>
        <w:spacing w:before="120" w:after="120" w:line="240" w:lineRule="auto"/>
        <w:jc w:val="center"/>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Table 5. Actors, Roles, and Values Offered in the IoT Transportation Business Ecosystem</w:t>
      </w:r>
    </w:p>
    <w:tbl>
      <w:tblPr>
        <w:tblStyle w:val="TableGrid"/>
        <w:tblW w:w="9072" w:type="dxa"/>
        <w:tblInd w:w="108" w:type="dxa"/>
        <w:tblLook w:val="04A0" w:firstRow="1" w:lastRow="0" w:firstColumn="1" w:lastColumn="0" w:noHBand="0" w:noVBand="1"/>
      </w:tblPr>
      <w:tblGrid>
        <w:gridCol w:w="2014"/>
        <w:gridCol w:w="2131"/>
        <w:gridCol w:w="4927"/>
      </w:tblGrid>
      <w:tr w:rsidR="009B58E8" w:rsidRPr="009B58E8" w14:paraId="4B79D55A" w14:textId="77777777" w:rsidTr="001F685B">
        <w:tc>
          <w:tcPr>
            <w:tcW w:w="2014" w:type="dxa"/>
            <w:vAlign w:val="center"/>
          </w:tcPr>
          <w:p w14:paraId="4267BC7E" w14:textId="77777777" w:rsidR="009B58E8" w:rsidRPr="009B58E8" w:rsidRDefault="009B58E8" w:rsidP="001F685B">
            <w:pPr>
              <w:tabs>
                <w:tab w:val="left" w:pos="709"/>
              </w:tabs>
              <w:snapToGrid w:val="0"/>
              <w:contextualSpacing/>
              <w:jc w:val="center"/>
              <w:rPr>
                <w:rFonts w:ascii="Times New Roman" w:hAnsi="Times New Roman" w:cs="Times New Roman"/>
                <w:b/>
                <w:bCs/>
                <w:color w:val="000000" w:themeColor="text1"/>
                <w:sz w:val="24"/>
                <w:szCs w:val="24"/>
              </w:rPr>
            </w:pPr>
            <w:r w:rsidRPr="009B58E8">
              <w:rPr>
                <w:rFonts w:ascii="Times New Roman" w:hAnsi="Times New Roman" w:cs="Times New Roman"/>
                <w:b/>
                <w:bCs/>
                <w:color w:val="000000" w:themeColor="text1"/>
                <w:sz w:val="24"/>
                <w:szCs w:val="24"/>
              </w:rPr>
              <w:t>Actor</w:t>
            </w:r>
          </w:p>
        </w:tc>
        <w:tc>
          <w:tcPr>
            <w:tcW w:w="2131" w:type="dxa"/>
            <w:vAlign w:val="center"/>
          </w:tcPr>
          <w:p w14:paraId="20B71062" w14:textId="77777777" w:rsidR="009B58E8" w:rsidRPr="009B58E8" w:rsidRDefault="009B58E8" w:rsidP="001F685B">
            <w:pPr>
              <w:tabs>
                <w:tab w:val="left" w:pos="709"/>
              </w:tabs>
              <w:snapToGrid w:val="0"/>
              <w:contextualSpacing/>
              <w:jc w:val="center"/>
              <w:rPr>
                <w:rFonts w:ascii="Times New Roman" w:hAnsi="Times New Roman" w:cs="Times New Roman"/>
                <w:b/>
                <w:bCs/>
                <w:color w:val="000000" w:themeColor="text1"/>
                <w:sz w:val="24"/>
                <w:szCs w:val="24"/>
              </w:rPr>
            </w:pPr>
            <w:r w:rsidRPr="009B58E8">
              <w:rPr>
                <w:rFonts w:ascii="Times New Roman" w:hAnsi="Times New Roman" w:cs="Times New Roman"/>
                <w:b/>
                <w:bCs/>
                <w:color w:val="000000" w:themeColor="text1"/>
                <w:sz w:val="24"/>
                <w:szCs w:val="24"/>
              </w:rPr>
              <w:t>Roles</w:t>
            </w:r>
          </w:p>
        </w:tc>
        <w:tc>
          <w:tcPr>
            <w:tcW w:w="4927" w:type="dxa"/>
          </w:tcPr>
          <w:p w14:paraId="29FC3494" w14:textId="77777777" w:rsidR="009B58E8" w:rsidRPr="009B58E8" w:rsidRDefault="009B58E8" w:rsidP="001F685B">
            <w:pPr>
              <w:tabs>
                <w:tab w:val="left" w:pos="709"/>
              </w:tabs>
              <w:snapToGrid w:val="0"/>
              <w:contextualSpacing/>
              <w:jc w:val="center"/>
              <w:rPr>
                <w:rFonts w:ascii="Times New Roman" w:hAnsi="Times New Roman" w:cs="Times New Roman"/>
                <w:b/>
                <w:bCs/>
                <w:color w:val="000000" w:themeColor="text1"/>
                <w:sz w:val="24"/>
                <w:szCs w:val="24"/>
              </w:rPr>
            </w:pPr>
            <w:r w:rsidRPr="009B58E8">
              <w:rPr>
                <w:rFonts w:ascii="Times New Roman" w:hAnsi="Times New Roman" w:cs="Times New Roman"/>
                <w:b/>
                <w:bCs/>
                <w:color w:val="000000" w:themeColor="text1"/>
                <w:sz w:val="24"/>
                <w:szCs w:val="24"/>
              </w:rPr>
              <w:t>The Value Being Offered</w:t>
            </w:r>
          </w:p>
        </w:tc>
      </w:tr>
      <w:tr w:rsidR="009B58E8" w:rsidRPr="009B58E8" w14:paraId="64EF28B9" w14:textId="77777777" w:rsidTr="001F685B">
        <w:tc>
          <w:tcPr>
            <w:tcW w:w="2014" w:type="dxa"/>
            <w:vMerge w:val="restart"/>
            <w:vAlign w:val="center"/>
          </w:tcPr>
          <w:p w14:paraId="1BFAB165" w14:textId="77777777" w:rsidR="009B58E8" w:rsidRPr="009B58E8" w:rsidRDefault="009B58E8" w:rsidP="001F685B">
            <w:pPr>
              <w:tabs>
                <w:tab w:val="left" w:pos="709"/>
              </w:tabs>
              <w:snapToGrid w:val="0"/>
              <w:contextualSpacing/>
              <w:jc w:val="center"/>
              <w:rPr>
                <w:rFonts w:ascii="Times New Roman" w:hAnsi="Times New Roman" w:cs="Times New Roman"/>
                <w:bCs/>
                <w:color w:val="000000" w:themeColor="text1"/>
                <w:sz w:val="24"/>
                <w:szCs w:val="24"/>
              </w:rPr>
            </w:pPr>
            <w:r w:rsidRPr="009B58E8">
              <w:rPr>
                <w:rFonts w:ascii="Times New Roman" w:hAnsi="Times New Roman" w:cs="Times New Roman"/>
                <w:iCs/>
                <w:color w:val="000000" w:themeColor="text1"/>
                <w:sz w:val="24"/>
                <w:szCs w:val="24"/>
              </w:rPr>
              <w:t>Customer</w:t>
            </w:r>
          </w:p>
        </w:tc>
        <w:tc>
          <w:tcPr>
            <w:tcW w:w="2131" w:type="dxa"/>
            <w:vAlign w:val="center"/>
          </w:tcPr>
          <w:p w14:paraId="7B741F0B" w14:textId="77777777" w:rsidR="009B58E8" w:rsidRPr="009B58E8" w:rsidRDefault="009B58E8" w:rsidP="001F685B">
            <w:pPr>
              <w:snapToGrid w:val="0"/>
              <w:contextualSpacing/>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Fleet owner companies</w:t>
            </w:r>
          </w:p>
        </w:tc>
        <w:tc>
          <w:tcPr>
            <w:tcW w:w="4927" w:type="dxa"/>
          </w:tcPr>
          <w:p w14:paraId="30D7E168" w14:textId="77777777" w:rsidR="009B58E8" w:rsidRPr="009B58E8" w:rsidRDefault="009B58E8" w:rsidP="001F685B">
            <w:pPr>
              <w:snapToGrid w:val="0"/>
              <w:contextualSpacing/>
              <w:jc w:val="both"/>
              <w:rPr>
                <w:rFonts w:ascii="Times New Roman" w:hAnsi="Times New Roman" w:cs="Times New Roman"/>
                <w:bCs/>
                <w:color w:val="000000" w:themeColor="text1"/>
                <w:sz w:val="24"/>
                <w:szCs w:val="24"/>
              </w:rPr>
            </w:pPr>
            <w:r w:rsidRPr="009B58E8">
              <w:rPr>
                <w:rFonts w:ascii="Times New Roman" w:hAnsi="Times New Roman" w:cs="Times New Roman"/>
                <w:iCs/>
                <w:color w:val="000000" w:themeColor="text1"/>
                <w:sz w:val="24"/>
                <w:szCs w:val="24"/>
              </w:rPr>
              <w:t>Purchasing services and optimizing fleet operating costs.</w:t>
            </w:r>
          </w:p>
        </w:tc>
      </w:tr>
      <w:tr w:rsidR="009B58E8" w:rsidRPr="009B58E8" w14:paraId="353FF652" w14:textId="77777777" w:rsidTr="001F685B">
        <w:tc>
          <w:tcPr>
            <w:tcW w:w="2014" w:type="dxa"/>
            <w:vMerge/>
            <w:vAlign w:val="center"/>
          </w:tcPr>
          <w:p w14:paraId="45FA2829" w14:textId="77777777" w:rsidR="009B58E8" w:rsidRPr="009B58E8" w:rsidRDefault="009B58E8" w:rsidP="001F685B">
            <w:pPr>
              <w:tabs>
                <w:tab w:val="left" w:pos="709"/>
              </w:tabs>
              <w:snapToGrid w:val="0"/>
              <w:contextualSpacing/>
              <w:jc w:val="center"/>
              <w:rPr>
                <w:rFonts w:ascii="Times New Roman" w:hAnsi="Times New Roman" w:cs="Times New Roman"/>
                <w:iCs/>
                <w:color w:val="000000" w:themeColor="text1"/>
                <w:sz w:val="24"/>
                <w:szCs w:val="24"/>
              </w:rPr>
            </w:pPr>
          </w:p>
        </w:tc>
        <w:tc>
          <w:tcPr>
            <w:tcW w:w="2131" w:type="dxa"/>
            <w:vAlign w:val="center"/>
          </w:tcPr>
          <w:p w14:paraId="28E37667" w14:textId="77777777" w:rsidR="009B58E8" w:rsidRPr="009B58E8" w:rsidRDefault="009B58E8" w:rsidP="001F685B">
            <w:pPr>
              <w:snapToGrid w:val="0"/>
              <w:ind w:right="-107"/>
              <w:contextualSpacing/>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Government &amp; Institutions</w:t>
            </w:r>
          </w:p>
        </w:tc>
        <w:tc>
          <w:tcPr>
            <w:tcW w:w="4927" w:type="dxa"/>
          </w:tcPr>
          <w:p w14:paraId="3942082A" w14:textId="77777777" w:rsidR="009B58E8" w:rsidRPr="009B58E8" w:rsidRDefault="009B58E8" w:rsidP="001F685B">
            <w:pPr>
              <w:snapToGrid w:val="0"/>
              <w:contextualSpacing/>
              <w:jc w:val="both"/>
              <w:rPr>
                <w:rFonts w:ascii="Times New Roman" w:hAnsi="Times New Roman" w:cs="Times New Roman"/>
                <w:iCs/>
                <w:color w:val="000000" w:themeColor="text1"/>
                <w:sz w:val="24"/>
                <w:szCs w:val="24"/>
              </w:rPr>
            </w:pPr>
            <w:r w:rsidRPr="009B58E8">
              <w:rPr>
                <w:rFonts w:ascii="Times New Roman" w:hAnsi="Times New Roman" w:cs="Times New Roman"/>
                <w:bCs/>
                <w:color w:val="000000" w:themeColor="text1"/>
                <w:sz w:val="24"/>
                <w:szCs w:val="24"/>
              </w:rPr>
              <w:t>Purchasing services and improving the quality of public services.</w:t>
            </w:r>
          </w:p>
        </w:tc>
      </w:tr>
      <w:tr w:rsidR="009B58E8" w:rsidRPr="009B58E8" w14:paraId="07872ECF" w14:textId="77777777" w:rsidTr="001F685B">
        <w:tc>
          <w:tcPr>
            <w:tcW w:w="2014" w:type="dxa"/>
            <w:vMerge/>
            <w:vAlign w:val="center"/>
          </w:tcPr>
          <w:p w14:paraId="71D97111" w14:textId="77777777" w:rsidR="009B58E8" w:rsidRPr="009B58E8" w:rsidRDefault="009B58E8" w:rsidP="001F685B">
            <w:pPr>
              <w:tabs>
                <w:tab w:val="left" w:pos="709"/>
              </w:tabs>
              <w:snapToGrid w:val="0"/>
              <w:contextualSpacing/>
              <w:jc w:val="center"/>
              <w:rPr>
                <w:rFonts w:ascii="Times New Roman" w:hAnsi="Times New Roman" w:cs="Times New Roman"/>
                <w:iCs/>
                <w:color w:val="000000" w:themeColor="text1"/>
                <w:sz w:val="24"/>
                <w:szCs w:val="24"/>
              </w:rPr>
            </w:pPr>
          </w:p>
        </w:tc>
        <w:tc>
          <w:tcPr>
            <w:tcW w:w="2131" w:type="dxa"/>
            <w:vAlign w:val="center"/>
          </w:tcPr>
          <w:p w14:paraId="3DD38BBE" w14:textId="77777777" w:rsidR="009B58E8" w:rsidRPr="009B58E8" w:rsidRDefault="009B58E8" w:rsidP="001F685B">
            <w:pPr>
              <w:snapToGrid w:val="0"/>
              <w:contextualSpacing/>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Public Users</w:t>
            </w:r>
          </w:p>
        </w:tc>
        <w:tc>
          <w:tcPr>
            <w:tcW w:w="4927" w:type="dxa"/>
          </w:tcPr>
          <w:p w14:paraId="77A4C785" w14:textId="77777777" w:rsidR="009B58E8" w:rsidRPr="009B58E8" w:rsidRDefault="009B58E8" w:rsidP="001F685B">
            <w:pPr>
              <w:snapToGrid w:val="0"/>
              <w:contextualSpacing/>
              <w:jc w:val="both"/>
              <w:rPr>
                <w:rFonts w:ascii="Times New Roman" w:hAnsi="Times New Roman" w:cs="Times New Roman"/>
                <w:iCs/>
                <w:color w:val="000000" w:themeColor="text1"/>
                <w:sz w:val="24"/>
                <w:szCs w:val="24"/>
              </w:rPr>
            </w:pPr>
            <w:r w:rsidRPr="009B58E8">
              <w:rPr>
                <w:rFonts w:ascii="Times New Roman" w:hAnsi="Times New Roman" w:cs="Times New Roman"/>
                <w:iCs/>
                <w:color w:val="000000" w:themeColor="text1"/>
                <w:sz w:val="24"/>
                <w:szCs w:val="24"/>
              </w:rPr>
              <w:t>Using services and providing feedback</w:t>
            </w:r>
          </w:p>
        </w:tc>
      </w:tr>
      <w:tr w:rsidR="009B58E8" w:rsidRPr="009B58E8" w14:paraId="65267996" w14:textId="77777777" w:rsidTr="001F685B">
        <w:tc>
          <w:tcPr>
            <w:tcW w:w="2014" w:type="dxa"/>
            <w:vAlign w:val="center"/>
          </w:tcPr>
          <w:p w14:paraId="681B677B" w14:textId="77777777" w:rsidR="009B58E8" w:rsidRPr="009B58E8" w:rsidRDefault="009B58E8" w:rsidP="001F685B">
            <w:pPr>
              <w:tabs>
                <w:tab w:val="left" w:pos="709"/>
              </w:tabs>
              <w:snapToGrid w:val="0"/>
              <w:contextualSpacing/>
              <w:jc w:val="center"/>
              <w:rPr>
                <w:rFonts w:ascii="Times New Roman" w:hAnsi="Times New Roman" w:cs="Times New Roman"/>
                <w:bCs/>
                <w:color w:val="000000" w:themeColor="text1"/>
                <w:sz w:val="24"/>
                <w:szCs w:val="24"/>
              </w:rPr>
            </w:pPr>
            <w:r w:rsidRPr="009B58E8">
              <w:rPr>
                <w:rFonts w:ascii="Times New Roman" w:hAnsi="Times New Roman" w:cs="Times New Roman"/>
                <w:iCs/>
                <w:color w:val="000000" w:themeColor="text1"/>
                <w:sz w:val="24"/>
                <w:szCs w:val="24"/>
              </w:rPr>
              <w:t>Solution Provider</w:t>
            </w:r>
          </w:p>
        </w:tc>
        <w:tc>
          <w:tcPr>
            <w:tcW w:w="2131" w:type="dxa"/>
            <w:vAlign w:val="center"/>
          </w:tcPr>
          <w:p w14:paraId="7E5DC0EE" w14:textId="77777777" w:rsidR="009B58E8" w:rsidRPr="009B58E8" w:rsidRDefault="009B58E8" w:rsidP="001F685B">
            <w:pPr>
              <w:snapToGrid w:val="0"/>
              <w:contextualSpacing/>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Big Data Provider</w:t>
            </w:r>
          </w:p>
        </w:tc>
        <w:tc>
          <w:tcPr>
            <w:tcW w:w="4927" w:type="dxa"/>
          </w:tcPr>
          <w:p w14:paraId="6DBF7633" w14:textId="77777777" w:rsidR="009B58E8" w:rsidRPr="009B58E8" w:rsidRDefault="009B58E8" w:rsidP="001F685B">
            <w:pPr>
              <w:snapToGrid w:val="0"/>
              <w:contextualSpacing/>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Providing big data solutions in fleet management.</w:t>
            </w:r>
          </w:p>
        </w:tc>
      </w:tr>
      <w:tr w:rsidR="009B58E8" w:rsidRPr="009B58E8" w14:paraId="4AE3F38D" w14:textId="77777777" w:rsidTr="001F685B">
        <w:tc>
          <w:tcPr>
            <w:tcW w:w="2014" w:type="dxa"/>
            <w:vAlign w:val="center"/>
          </w:tcPr>
          <w:p w14:paraId="10136176" w14:textId="77777777" w:rsidR="009B58E8" w:rsidRPr="009B58E8" w:rsidRDefault="009B58E8" w:rsidP="001F685B">
            <w:pPr>
              <w:tabs>
                <w:tab w:val="left" w:pos="709"/>
              </w:tabs>
              <w:snapToGrid w:val="0"/>
              <w:contextualSpacing/>
              <w:jc w:val="center"/>
              <w:rPr>
                <w:rFonts w:ascii="Times New Roman" w:hAnsi="Times New Roman" w:cs="Times New Roman"/>
                <w:iCs/>
                <w:color w:val="000000" w:themeColor="text1"/>
                <w:sz w:val="24"/>
                <w:szCs w:val="24"/>
              </w:rPr>
            </w:pPr>
          </w:p>
        </w:tc>
        <w:tc>
          <w:tcPr>
            <w:tcW w:w="2131" w:type="dxa"/>
            <w:vAlign w:val="center"/>
          </w:tcPr>
          <w:p w14:paraId="528EA9E8" w14:textId="77777777" w:rsidR="009B58E8" w:rsidRPr="009B58E8" w:rsidRDefault="009B58E8" w:rsidP="001F685B">
            <w:pPr>
              <w:snapToGrid w:val="0"/>
              <w:contextualSpacing/>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System integrator</w:t>
            </w:r>
          </w:p>
        </w:tc>
        <w:tc>
          <w:tcPr>
            <w:tcW w:w="4927" w:type="dxa"/>
          </w:tcPr>
          <w:p w14:paraId="46191268" w14:textId="77777777" w:rsidR="009B58E8" w:rsidRPr="009B58E8" w:rsidRDefault="009B58E8" w:rsidP="001F685B">
            <w:pPr>
              <w:snapToGrid w:val="0"/>
              <w:contextualSpacing/>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Facilitating the integration of systems and technologies for end-to-end IoT solutions.</w:t>
            </w:r>
          </w:p>
        </w:tc>
      </w:tr>
      <w:tr w:rsidR="009B58E8" w:rsidRPr="009B58E8" w14:paraId="505DED9E" w14:textId="77777777" w:rsidTr="001F685B">
        <w:tc>
          <w:tcPr>
            <w:tcW w:w="2014" w:type="dxa"/>
            <w:vMerge w:val="restart"/>
            <w:vAlign w:val="center"/>
          </w:tcPr>
          <w:p w14:paraId="260344E9" w14:textId="77777777" w:rsidR="009B58E8" w:rsidRPr="009B58E8" w:rsidRDefault="009B58E8" w:rsidP="001F685B">
            <w:pPr>
              <w:tabs>
                <w:tab w:val="left" w:pos="709"/>
              </w:tabs>
              <w:snapToGrid w:val="0"/>
              <w:contextualSpacing/>
              <w:jc w:val="center"/>
              <w:rPr>
                <w:rFonts w:ascii="Times New Roman" w:hAnsi="Times New Roman" w:cs="Times New Roman"/>
                <w:bCs/>
                <w:color w:val="000000" w:themeColor="text1"/>
                <w:sz w:val="24"/>
                <w:szCs w:val="24"/>
              </w:rPr>
            </w:pPr>
            <w:r w:rsidRPr="009B58E8">
              <w:rPr>
                <w:rFonts w:ascii="Times New Roman" w:hAnsi="Times New Roman" w:cs="Times New Roman"/>
                <w:iCs/>
                <w:color w:val="000000" w:themeColor="text1"/>
                <w:sz w:val="24"/>
                <w:szCs w:val="24"/>
              </w:rPr>
              <w:t>Device Provider</w:t>
            </w:r>
          </w:p>
        </w:tc>
        <w:tc>
          <w:tcPr>
            <w:tcW w:w="2131" w:type="dxa"/>
            <w:vAlign w:val="center"/>
          </w:tcPr>
          <w:p w14:paraId="66776C91" w14:textId="1BFB2A8F" w:rsidR="009B58E8" w:rsidRPr="009B58E8" w:rsidRDefault="009B58E8" w:rsidP="001F685B">
            <w:pPr>
              <w:snapToGrid w:val="0"/>
              <w:contextualSpacing/>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Device Production</w:t>
            </w:r>
          </w:p>
        </w:tc>
        <w:tc>
          <w:tcPr>
            <w:tcW w:w="4927" w:type="dxa"/>
          </w:tcPr>
          <w:p w14:paraId="0E8CF349" w14:textId="77777777" w:rsidR="009B58E8" w:rsidRPr="009B58E8" w:rsidRDefault="009B58E8" w:rsidP="001F685B">
            <w:pPr>
              <w:snapToGrid w:val="0"/>
              <w:contextualSpacing/>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Producing reliable IoT devices.</w:t>
            </w:r>
          </w:p>
        </w:tc>
      </w:tr>
      <w:tr w:rsidR="009B58E8" w:rsidRPr="009B58E8" w14:paraId="35EB33CC" w14:textId="77777777" w:rsidTr="001F685B">
        <w:tc>
          <w:tcPr>
            <w:tcW w:w="2014" w:type="dxa"/>
            <w:vMerge/>
            <w:vAlign w:val="center"/>
          </w:tcPr>
          <w:p w14:paraId="3E71A5C8" w14:textId="77777777" w:rsidR="009B58E8" w:rsidRPr="009B58E8" w:rsidRDefault="009B58E8" w:rsidP="001F685B">
            <w:pPr>
              <w:tabs>
                <w:tab w:val="left" w:pos="709"/>
              </w:tabs>
              <w:snapToGrid w:val="0"/>
              <w:contextualSpacing/>
              <w:jc w:val="center"/>
              <w:rPr>
                <w:rFonts w:ascii="Times New Roman" w:hAnsi="Times New Roman" w:cs="Times New Roman"/>
                <w:iCs/>
                <w:color w:val="000000" w:themeColor="text1"/>
                <w:sz w:val="24"/>
                <w:szCs w:val="24"/>
              </w:rPr>
            </w:pPr>
          </w:p>
        </w:tc>
        <w:tc>
          <w:tcPr>
            <w:tcW w:w="2131" w:type="dxa"/>
            <w:vAlign w:val="center"/>
          </w:tcPr>
          <w:p w14:paraId="28F1CC43" w14:textId="0D9C73C3" w:rsidR="009B58E8" w:rsidRPr="009B58E8" w:rsidRDefault="009B58E8" w:rsidP="001F685B">
            <w:pPr>
              <w:snapToGrid w:val="0"/>
              <w:contextualSpacing/>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Providing Software Development Kit (SDK) for Devices</w:t>
            </w:r>
          </w:p>
        </w:tc>
        <w:tc>
          <w:tcPr>
            <w:tcW w:w="4927" w:type="dxa"/>
          </w:tcPr>
          <w:p w14:paraId="5F3601AD" w14:textId="77777777" w:rsidR="009B58E8" w:rsidRPr="009B58E8" w:rsidRDefault="009B58E8" w:rsidP="001F685B">
            <w:pPr>
              <w:snapToGrid w:val="0"/>
              <w:contextualSpacing/>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Providing a Software Development Kit (SDK) for Devices that can be used for various use cases according to customer needs.</w:t>
            </w:r>
          </w:p>
        </w:tc>
      </w:tr>
      <w:tr w:rsidR="009B58E8" w:rsidRPr="009B58E8" w14:paraId="1FBD21CC" w14:textId="77777777" w:rsidTr="001F685B">
        <w:tc>
          <w:tcPr>
            <w:tcW w:w="2014" w:type="dxa"/>
            <w:vAlign w:val="center"/>
          </w:tcPr>
          <w:p w14:paraId="1B2EECCF" w14:textId="77777777" w:rsidR="009B58E8" w:rsidRPr="009B58E8" w:rsidRDefault="009B58E8" w:rsidP="001F685B">
            <w:pPr>
              <w:tabs>
                <w:tab w:val="left" w:pos="709"/>
              </w:tabs>
              <w:snapToGrid w:val="0"/>
              <w:contextualSpacing/>
              <w:jc w:val="center"/>
              <w:rPr>
                <w:rFonts w:ascii="Times New Roman" w:hAnsi="Times New Roman" w:cs="Times New Roman"/>
                <w:iCs/>
                <w:color w:val="000000" w:themeColor="text1"/>
                <w:sz w:val="24"/>
                <w:szCs w:val="24"/>
              </w:rPr>
            </w:pPr>
            <w:r w:rsidRPr="009B58E8">
              <w:rPr>
                <w:rFonts w:ascii="Times New Roman" w:hAnsi="Times New Roman" w:cs="Times New Roman"/>
                <w:iCs/>
                <w:color w:val="000000" w:themeColor="text1"/>
                <w:sz w:val="24"/>
                <w:szCs w:val="24"/>
              </w:rPr>
              <w:t>Technical team</w:t>
            </w:r>
          </w:p>
        </w:tc>
        <w:tc>
          <w:tcPr>
            <w:tcW w:w="2131" w:type="dxa"/>
            <w:vAlign w:val="center"/>
          </w:tcPr>
          <w:p w14:paraId="723F708D" w14:textId="77777777" w:rsidR="009B58E8" w:rsidRPr="009B58E8" w:rsidRDefault="009B58E8" w:rsidP="001F685B">
            <w:pPr>
              <w:snapToGrid w:val="0"/>
              <w:contextualSpacing/>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Technical team</w:t>
            </w:r>
          </w:p>
        </w:tc>
        <w:tc>
          <w:tcPr>
            <w:tcW w:w="4927" w:type="dxa"/>
          </w:tcPr>
          <w:p w14:paraId="06CDC9A3" w14:textId="77777777" w:rsidR="009B58E8" w:rsidRPr="009B58E8" w:rsidRDefault="009B58E8" w:rsidP="001F685B">
            <w:pPr>
              <w:snapToGrid w:val="0"/>
              <w:contextualSpacing/>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Providing technical support for the installation, operation, maintenance, and management of IoT hardware and software.</w:t>
            </w:r>
          </w:p>
        </w:tc>
      </w:tr>
      <w:tr w:rsidR="009B58E8" w:rsidRPr="009B58E8" w14:paraId="71DE8C03" w14:textId="77777777" w:rsidTr="001F685B">
        <w:tc>
          <w:tcPr>
            <w:tcW w:w="2014" w:type="dxa"/>
            <w:vMerge w:val="restart"/>
            <w:vAlign w:val="center"/>
          </w:tcPr>
          <w:p w14:paraId="35C64FB3" w14:textId="77777777" w:rsidR="009B58E8" w:rsidRPr="009B58E8" w:rsidRDefault="009B58E8" w:rsidP="001F685B">
            <w:pPr>
              <w:tabs>
                <w:tab w:val="left" w:pos="709"/>
              </w:tabs>
              <w:snapToGrid w:val="0"/>
              <w:contextualSpacing/>
              <w:jc w:val="center"/>
              <w:rPr>
                <w:rFonts w:ascii="Times New Roman" w:hAnsi="Times New Roman" w:cs="Times New Roman"/>
                <w:iCs/>
                <w:color w:val="000000" w:themeColor="text1"/>
                <w:sz w:val="24"/>
                <w:szCs w:val="24"/>
              </w:rPr>
            </w:pPr>
            <w:r w:rsidRPr="009B58E8">
              <w:rPr>
                <w:rFonts w:ascii="Times New Roman" w:hAnsi="Times New Roman" w:cs="Times New Roman"/>
                <w:iCs/>
                <w:color w:val="000000" w:themeColor="text1"/>
                <w:sz w:val="24"/>
                <w:szCs w:val="24"/>
              </w:rPr>
              <w:t>Network Provider</w:t>
            </w:r>
          </w:p>
        </w:tc>
        <w:tc>
          <w:tcPr>
            <w:tcW w:w="2131" w:type="dxa"/>
            <w:vAlign w:val="center"/>
          </w:tcPr>
          <w:p w14:paraId="13EC4F89" w14:textId="4611C214" w:rsidR="009B58E8" w:rsidRPr="009B58E8" w:rsidRDefault="009B58E8" w:rsidP="001F685B">
            <w:pPr>
              <w:snapToGrid w:val="0"/>
              <w:contextualSpacing/>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Providing network services and infrastructure</w:t>
            </w:r>
          </w:p>
        </w:tc>
        <w:tc>
          <w:tcPr>
            <w:tcW w:w="4927" w:type="dxa"/>
          </w:tcPr>
          <w:p w14:paraId="6BB3F583" w14:textId="77777777" w:rsidR="009B58E8" w:rsidRPr="009B58E8" w:rsidRDefault="009B58E8" w:rsidP="001F685B">
            <w:pPr>
              <w:snapToGrid w:val="0"/>
              <w:contextualSpacing/>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 xml:space="preserve">Providing extensive and reliable connectivity for continuous data transmission. </w:t>
            </w:r>
          </w:p>
        </w:tc>
      </w:tr>
      <w:tr w:rsidR="009B58E8" w:rsidRPr="009B58E8" w14:paraId="0409F45B" w14:textId="77777777" w:rsidTr="001F685B">
        <w:tc>
          <w:tcPr>
            <w:tcW w:w="2014" w:type="dxa"/>
            <w:vMerge/>
            <w:vAlign w:val="center"/>
          </w:tcPr>
          <w:p w14:paraId="01AE3ED0" w14:textId="77777777" w:rsidR="009B58E8" w:rsidRPr="009B58E8" w:rsidRDefault="009B58E8" w:rsidP="001F685B">
            <w:pPr>
              <w:tabs>
                <w:tab w:val="left" w:pos="709"/>
              </w:tabs>
              <w:snapToGrid w:val="0"/>
              <w:contextualSpacing/>
              <w:jc w:val="center"/>
              <w:rPr>
                <w:rFonts w:ascii="Times New Roman" w:hAnsi="Times New Roman" w:cs="Times New Roman"/>
                <w:iCs/>
                <w:color w:val="000000" w:themeColor="text1"/>
                <w:sz w:val="24"/>
                <w:szCs w:val="24"/>
              </w:rPr>
            </w:pPr>
          </w:p>
        </w:tc>
        <w:tc>
          <w:tcPr>
            <w:tcW w:w="2131" w:type="dxa"/>
            <w:vAlign w:val="center"/>
          </w:tcPr>
          <w:p w14:paraId="14AC5E73" w14:textId="77777777" w:rsidR="009B58E8" w:rsidRPr="009B58E8" w:rsidRDefault="009B58E8" w:rsidP="001F685B">
            <w:pPr>
              <w:snapToGrid w:val="0"/>
              <w:contextualSpacing/>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Managing network data</w:t>
            </w:r>
          </w:p>
        </w:tc>
        <w:tc>
          <w:tcPr>
            <w:tcW w:w="4927" w:type="dxa"/>
          </w:tcPr>
          <w:p w14:paraId="33B00DB0" w14:textId="77777777" w:rsidR="009B58E8" w:rsidRPr="009B58E8" w:rsidRDefault="009B58E8" w:rsidP="001F685B">
            <w:pPr>
              <w:snapToGrid w:val="0"/>
              <w:contextualSpacing/>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Offering network data management services to maintain and support the data transmission process.</w:t>
            </w:r>
          </w:p>
        </w:tc>
      </w:tr>
      <w:tr w:rsidR="009B58E8" w:rsidRPr="009B58E8" w14:paraId="5CB33EFC" w14:textId="77777777" w:rsidTr="001F685B">
        <w:tc>
          <w:tcPr>
            <w:tcW w:w="2014" w:type="dxa"/>
            <w:vMerge w:val="restart"/>
            <w:vAlign w:val="center"/>
          </w:tcPr>
          <w:p w14:paraId="0CEFEB41" w14:textId="77777777" w:rsidR="009B58E8" w:rsidRPr="009B58E8" w:rsidRDefault="009B58E8" w:rsidP="001F685B">
            <w:pPr>
              <w:tabs>
                <w:tab w:val="left" w:pos="709"/>
              </w:tabs>
              <w:snapToGrid w:val="0"/>
              <w:contextualSpacing/>
              <w:jc w:val="center"/>
              <w:rPr>
                <w:rFonts w:ascii="Times New Roman" w:hAnsi="Times New Roman" w:cs="Times New Roman"/>
                <w:iCs/>
                <w:color w:val="000000" w:themeColor="text1"/>
                <w:sz w:val="24"/>
                <w:szCs w:val="24"/>
              </w:rPr>
            </w:pPr>
            <w:r w:rsidRPr="009B58E8">
              <w:rPr>
                <w:rFonts w:ascii="Times New Roman" w:hAnsi="Times New Roman" w:cs="Times New Roman"/>
                <w:iCs/>
                <w:color w:val="000000" w:themeColor="text1"/>
                <w:sz w:val="24"/>
                <w:szCs w:val="24"/>
              </w:rPr>
              <w:t>App Developer</w:t>
            </w:r>
          </w:p>
        </w:tc>
        <w:tc>
          <w:tcPr>
            <w:tcW w:w="2131" w:type="dxa"/>
            <w:vAlign w:val="center"/>
          </w:tcPr>
          <w:p w14:paraId="6B20C5D2" w14:textId="324F429F" w:rsidR="009B58E8" w:rsidRPr="009B58E8" w:rsidRDefault="009B58E8" w:rsidP="001F685B">
            <w:pPr>
              <w:snapToGrid w:val="0"/>
              <w:contextualSpacing/>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Developing applications</w:t>
            </w:r>
          </w:p>
        </w:tc>
        <w:tc>
          <w:tcPr>
            <w:tcW w:w="4927" w:type="dxa"/>
          </w:tcPr>
          <w:p w14:paraId="635205BE" w14:textId="77777777" w:rsidR="009B58E8" w:rsidRPr="009B58E8" w:rsidRDefault="009B58E8" w:rsidP="001F685B">
            <w:pPr>
              <w:snapToGrid w:val="0"/>
              <w:contextualSpacing/>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 xml:space="preserve">Developing custom applications according to the specific needs of users.  </w:t>
            </w:r>
          </w:p>
        </w:tc>
      </w:tr>
      <w:tr w:rsidR="009B58E8" w:rsidRPr="009B58E8" w14:paraId="63930CB3" w14:textId="77777777" w:rsidTr="001F685B">
        <w:tc>
          <w:tcPr>
            <w:tcW w:w="2014" w:type="dxa"/>
            <w:vMerge/>
          </w:tcPr>
          <w:p w14:paraId="63843824" w14:textId="77777777" w:rsidR="009B58E8" w:rsidRPr="009B58E8" w:rsidRDefault="009B58E8" w:rsidP="001F685B">
            <w:pPr>
              <w:tabs>
                <w:tab w:val="left" w:pos="709"/>
              </w:tabs>
              <w:snapToGrid w:val="0"/>
              <w:contextualSpacing/>
              <w:rPr>
                <w:rFonts w:ascii="Times New Roman" w:hAnsi="Times New Roman" w:cs="Times New Roman"/>
                <w:bCs/>
                <w:color w:val="000000" w:themeColor="text1"/>
                <w:sz w:val="24"/>
                <w:szCs w:val="24"/>
              </w:rPr>
            </w:pPr>
          </w:p>
        </w:tc>
        <w:tc>
          <w:tcPr>
            <w:tcW w:w="2131" w:type="dxa"/>
            <w:vAlign w:val="center"/>
          </w:tcPr>
          <w:p w14:paraId="626A9AD0" w14:textId="77777777" w:rsidR="009B58E8" w:rsidRPr="009B58E8" w:rsidRDefault="009B58E8" w:rsidP="001F685B">
            <w:pPr>
              <w:snapToGrid w:val="0"/>
              <w:contextualSpacing/>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Integrating systems</w:t>
            </w:r>
          </w:p>
        </w:tc>
        <w:tc>
          <w:tcPr>
            <w:tcW w:w="4927" w:type="dxa"/>
          </w:tcPr>
          <w:p w14:paraId="2EC20052" w14:textId="77777777" w:rsidR="009B58E8" w:rsidRPr="009B58E8" w:rsidRDefault="009B58E8" w:rsidP="001F685B">
            <w:pPr>
              <w:snapToGrid w:val="0"/>
              <w:contextualSpacing/>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Ensuring that application components can integrate with other applications.</w:t>
            </w:r>
          </w:p>
        </w:tc>
      </w:tr>
    </w:tbl>
    <w:p w14:paraId="0F9DD0BF" w14:textId="6D41B503" w:rsidR="009B58E8" w:rsidRPr="002A3CF4" w:rsidRDefault="009B58E8" w:rsidP="001F685B">
      <w:pPr>
        <w:snapToGrid w:val="0"/>
        <w:spacing w:before="120" w:after="120" w:line="240" w:lineRule="auto"/>
        <w:rPr>
          <w:rFonts w:ascii="Times New Roman" w:eastAsia="Times New Roman" w:hAnsi="Times New Roman" w:cs="Times New Roman"/>
          <w:b/>
          <w:sz w:val="24"/>
        </w:rPr>
      </w:pPr>
      <w:r w:rsidRPr="002A3CF4">
        <w:rPr>
          <w:rFonts w:ascii="Times New Roman" w:hAnsi="Times New Roman" w:cs="Times New Roman"/>
          <w:b/>
          <w:sz w:val="24"/>
        </w:rPr>
        <w:t xml:space="preserve">Identify </w:t>
      </w:r>
      <w:r w:rsidR="002A3CF4" w:rsidRPr="002A3CF4">
        <w:rPr>
          <w:rFonts w:ascii="Times New Roman" w:hAnsi="Times New Roman" w:cs="Times New Roman"/>
          <w:b/>
          <w:sz w:val="24"/>
        </w:rPr>
        <w:t>Interactions Between Actors in The Business Ecosystem</w:t>
      </w:r>
    </w:p>
    <w:p w14:paraId="7B0FE636" w14:textId="502AFB65" w:rsidR="002A3CF4" w:rsidRPr="009B58E8" w:rsidRDefault="009B58E8" w:rsidP="001F685B">
      <w:pPr>
        <w:tabs>
          <w:tab w:val="left" w:pos="709"/>
        </w:tabs>
        <w:snapToGrid w:val="0"/>
        <w:spacing w:before="120" w:after="120" w:line="240" w:lineRule="auto"/>
        <w:jc w:val="both"/>
        <w:rPr>
          <w:rFonts w:ascii="Times New Roman" w:hAnsi="Times New Roman" w:cs="Times New Roman"/>
          <w:bCs/>
          <w:color w:val="000000" w:themeColor="text1"/>
          <w:sz w:val="24"/>
          <w:szCs w:val="24"/>
        </w:rPr>
      </w:pPr>
      <w:r w:rsidRPr="009B58E8">
        <w:rPr>
          <w:rFonts w:ascii="Times New Roman" w:hAnsi="Times New Roman" w:cs="Times New Roman"/>
          <w:color w:val="000000" w:themeColor="text1"/>
          <w:sz w:val="24"/>
          <w:szCs w:val="24"/>
        </w:rPr>
        <w:t xml:space="preserve">One of the key elements in a business ecosystem is the interaction among actors, and the actors interact for value co-creation and co-evolution </w:t>
      </w:r>
      <w:r w:rsidRPr="009B58E8">
        <w:rPr>
          <w:rFonts w:ascii="Times New Roman" w:hAnsi="Times New Roman" w:cs="Times New Roman"/>
          <w:color w:val="000000" w:themeColor="text1"/>
          <w:sz w:val="24"/>
          <w:szCs w:val="24"/>
        </w:rPr>
        <w:fldChar w:fldCharType="begin" w:fldLock="1"/>
      </w:r>
      <w:r w:rsidRPr="009B58E8">
        <w:rPr>
          <w:rFonts w:ascii="Times New Roman" w:hAnsi="Times New Roman" w:cs="Times New Roman"/>
          <w:color w:val="000000" w:themeColor="text1"/>
          <w:sz w:val="24"/>
          <w:szCs w:val="24"/>
        </w:rPr>
        <w:instrText>ADDIN CSL_CITATION {"citationItems":[{"id":"ITEM-1","itemData":{"DOI":"10.1186/s42162-021-00142-y","ISSN":"25208942","abstract":"Due to the complexity of business ecosystems, the architecture of business ecosystems has not been well discussed in the literature, and modeling or simulation of business ecosystems has been rarely focused. Therefore, this paper proposes a business ecosystem ontology and introduces a methodology for business ecosystem architecture design. The proposed methodology includes five stages: 1) Boundary identification of a business ecosystem; 2) Identification of actors and their roles in the business ecosystem; 3) Identification of actors’ value propositions; 4) Identification of interaction between actors; 5) Verification of business ecosystem architecture design. This paper uses the Danish electricity system as an example to introduce the methodology, and use Electric Vehicle home charging as a case study to demonstrate the application of the developed methodology. The case study demonstrates that the proposed methodology is a systematic approach and can be easily applied to any ecosystem architecture design with the five stages, and the designed ecosystem architecture can represent the physical system and business. Several definitions are clarified in the paper, e.g., actor, role, interaction, ecosystem roadmap and expanded/shifted ecosystem, etc. With clear definitions, the proposed methodology provides a visualized, clear structure of behaviors and specifications for a given business ecosystem.","author":[{"dropping-particle":"","family":"Ma","given":"Zheng","non-dropping-particle":"","parse-names":false,"suffix":""},{"dropping-particle":"","family":"Christensen","given":"Kristoffer","non-dropping-particle":"","parse-names":false,"suffix":""},{"dropping-particle":"","family":"Jørgensen","given":"Bo Nørregaard","non-dropping-particle":"","parse-names":false,"suffix":""}],"container-title":"Energy Informatics","id":"ITEM-1","issue":"9","issued":{"date-parts":[["2021"]]},"page":"1-38","publisher":"Energy Informatics","title":"Business ecosystem architecture development: a case study of Electric Vehicle home charging","type":"article-journal","volume":"4"},"uris":["http://www.mendeley.com/documents/?uuid=3d5bf33f-5ae6-4125-9f3a-0f080d47edca"]}],"mendeley":{"formattedCitation":"(Ma et al., 2021)","plainTextFormattedCitation":"(Ma et al., 2021)","previouslyFormattedCitation":"(Ma et al., 2021)"},"properties":{"noteIndex":0},"schema":"https://github.com/citation-style-language/schema/raw/master/csl-citation.json"}</w:instrText>
      </w:r>
      <w:r w:rsidRPr="009B58E8">
        <w:rPr>
          <w:rFonts w:ascii="Times New Roman" w:hAnsi="Times New Roman" w:cs="Times New Roman"/>
          <w:color w:val="000000" w:themeColor="text1"/>
          <w:sz w:val="24"/>
          <w:szCs w:val="24"/>
        </w:rPr>
        <w:fldChar w:fldCharType="separate"/>
      </w:r>
      <w:r w:rsidRPr="009B58E8">
        <w:rPr>
          <w:rFonts w:ascii="Times New Roman" w:hAnsi="Times New Roman" w:cs="Times New Roman"/>
          <w:noProof/>
          <w:color w:val="000000" w:themeColor="text1"/>
          <w:sz w:val="24"/>
          <w:szCs w:val="24"/>
        </w:rPr>
        <w:t>(Ma et al., 2021)</w:t>
      </w:r>
      <w:r w:rsidRPr="009B58E8">
        <w:rPr>
          <w:rFonts w:ascii="Times New Roman" w:hAnsi="Times New Roman" w:cs="Times New Roman"/>
          <w:color w:val="000000" w:themeColor="text1"/>
          <w:sz w:val="24"/>
          <w:szCs w:val="24"/>
        </w:rPr>
        <w:fldChar w:fldCharType="end"/>
      </w:r>
      <w:r w:rsidRPr="009B58E8">
        <w:rPr>
          <w:rFonts w:ascii="Times New Roman" w:hAnsi="Times New Roman" w:cs="Times New Roman"/>
          <w:color w:val="000000" w:themeColor="text1"/>
          <w:sz w:val="24"/>
          <w:szCs w:val="24"/>
        </w:rPr>
        <w:t xml:space="preserve">. </w:t>
      </w:r>
      <w:r w:rsidRPr="009B58E8">
        <w:rPr>
          <w:rFonts w:ascii="Times New Roman" w:hAnsi="Times New Roman" w:cs="Times New Roman"/>
          <w:bCs/>
          <w:color w:val="000000" w:themeColor="text1"/>
          <w:sz w:val="24"/>
          <w:szCs w:val="24"/>
        </w:rPr>
        <w:t>In the case study of the IoT business ecosystem in the transportation sector at Telkom Indonesia, the interactions among actors demonstrate collaborative efforts that drive innovation and the development of solutions tailored to market needs, as shown in Table 6. The exchange of information and experiences among actors helps create synergy that enhances operational effectiveness and accelerates the adaptation of new technologies. This strong interaction contributes to the sustainability and growth of the IoT ecosystem in the transportation sector.</w:t>
      </w:r>
    </w:p>
    <w:p w14:paraId="0F28BD3B" w14:textId="77777777" w:rsidR="009B58E8" w:rsidRPr="009B58E8" w:rsidRDefault="009B58E8" w:rsidP="001F685B">
      <w:pPr>
        <w:snapToGrid w:val="0"/>
        <w:spacing w:before="120" w:after="120" w:line="240" w:lineRule="auto"/>
        <w:jc w:val="center"/>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Table 6. Interaction Between Actors and Objects in the IoT Transportation Business Ecosystem</w:t>
      </w:r>
    </w:p>
    <w:tbl>
      <w:tblPr>
        <w:tblStyle w:val="GridTable2-Accent3"/>
        <w:tblW w:w="9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627"/>
        <w:gridCol w:w="1887"/>
        <w:gridCol w:w="835"/>
        <w:gridCol w:w="1843"/>
        <w:gridCol w:w="1443"/>
      </w:tblGrid>
      <w:tr w:rsidR="009B58E8" w:rsidRPr="009B58E8" w14:paraId="0844298A" w14:textId="77777777" w:rsidTr="001F685B">
        <w:trPr>
          <w:cnfStyle w:val="100000000000" w:firstRow="1" w:lastRow="0" w:firstColumn="0" w:lastColumn="0" w:oddVBand="0" w:evenVBand="0" w:oddHBand="0" w:evenHBand="0" w:firstRowFirstColumn="0" w:firstRowLastColumn="0" w:lastRowFirstColumn="0" w:lastRowLastColumn="0"/>
          <w:trHeight w:val="556"/>
          <w:jc w:val="center"/>
        </w:trPr>
        <w:tc>
          <w:tcPr>
            <w:cnfStyle w:val="001000000000" w:firstRow="0" w:lastRow="0" w:firstColumn="1" w:lastColumn="0" w:oddVBand="0" w:evenVBand="0" w:oddHBand="0" w:evenHBand="0" w:firstRowFirstColumn="0" w:firstRowLastColumn="0" w:lastRowFirstColumn="0" w:lastRowLastColumn="0"/>
            <w:tcW w:w="1390" w:type="dxa"/>
            <w:tcBorders>
              <w:top w:val="none" w:sz="0" w:space="0" w:color="auto"/>
              <w:bottom w:val="none" w:sz="0" w:space="0" w:color="auto"/>
              <w:right w:val="none" w:sz="0" w:space="0" w:color="auto"/>
            </w:tcBorders>
            <w:shd w:val="clear" w:color="auto" w:fill="auto"/>
            <w:vAlign w:val="center"/>
            <w:hideMark/>
          </w:tcPr>
          <w:p w14:paraId="28F033B0" w14:textId="77777777" w:rsidR="009B58E8" w:rsidRPr="009B58E8" w:rsidRDefault="009B58E8" w:rsidP="001F685B">
            <w:pPr>
              <w:snapToGrid w:val="0"/>
              <w:contextualSpacing/>
              <w:jc w:val="center"/>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From Actor/object</w:t>
            </w:r>
          </w:p>
        </w:tc>
        <w:tc>
          <w:tcPr>
            <w:tcW w:w="1646" w:type="dxa"/>
            <w:tcBorders>
              <w:top w:val="none" w:sz="0" w:space="0" w:color="auto"/>
              <w:left w:val="none" w:sz="0" w:space="0" w:color="auto"/>
              <w:bottom w:val="none" w:sz="0" w:space="0" w:color="auto"/>
              <w:right w:val="none" w:sz="0" w:space="0" w:color="auto"/>
            </w:tcBorders>
            <w:shd w:val="clear" w:color="auto" w:fill="auto"/>
            <w:vAlign w:val="center"/>
            <w:hideMark/>
          </w:tcPr>
          <w:p w14:paraId="21FBA3B5" w14:textId="77777777" w:rsidR="009B58E8" w:rsidRPr="009B58E8" w:rsidRDefault="009B58E8" w:rsidP="001F685B">
            <w:pPr>
              <w:snapToGrid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Role</w:t>
            </w:r>
          </w:p>
        </w:tc>
        <w:tc>
          <w:tcPr>
            <w:tcW w:w="1917" w:type="dxa"/>
            <w:tcBorders>
              <w:top w:val="none" w:sz="0" w:space="0" w:color="auto"/>
              <w:left w:val="none" w:sz="0" w:space="0" w:color="auto"/>
              <w:bottom w:val="none" w:sz="0" w:space="0" w:color="auto"/>
              <w:right w:val="none" w:sz="0" w:space="0" w:color="auto"/>
            </w:tcBorders>
            <w:shd w:val="clear" w:color="auto" w:fill="auto"/>
            <w:vAlign w:val="center"/>
            <w:hideMark/>
          </w:tcPr>
          <w:p w14:paraId="4DC41625" w14:textId="77777777" w:rsidR="009B58E8" w:rsidRPr="009B58E8" w:rsidRDefault="009B58E8" w:rsidP="001F685B">
            <w:pPr>
              <w:snapToGrid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Interaction content</w:t>
            </w:r>
          </w:p>
        </w:tc>
        <w:tc>
          <w:tcPr>
            <w:tcW w:w="840" w:type="dxa"/>
            <w:tcBorders>
              <w:top w:val="none" w:sz="0" w:space="0" w:color="auto"/>
              <w:left w:val="none" w:sz="0" w:space="0" w:color="auto"/>
              <w:bottom w:val="none" w:sz="0" w:space="0" w:color="auto"/>
              <w:right w:val="none" w:sz="0" w:space="0" w:color="auto"/>
            </w:tcBorders>
            <w:shd w:val="clear" w:color="auto" w:fill="auto"/>
            <w:hideMark/>
          </w:tcPr>
          <w:p w14:paraId="7692568A" w14:textId="77777777" w:rsidR="009B58E8" w:rsidRPr="009B58E8" w:rsidRDefault="009B58E8" w:rsidP="001F685B">
            <w:pPr>
              <w:snapToGrid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Color code</w:t>
            </w:r>
          </w:p>
        </w:tc>
        <w:tc>
          <w:tcPr>
            <w:tcW w:w="1895" w:type="dxa"/>
            <w:tcBorders>
              <w:top w:val="none" w:sz="0" w:space="0" w:color="auto"/>
              <w:left w:val="none" w:sz="0" w:space="0" w:color="auto"/>
              <w:bottom w:val="none" w:sz="0" w:space="0" w:color="auto"/>
              <w:right w:val="none" w:sz="0" w:space="0" w:color="auto"/>
            </w:tcBorders>
            <w:shd w:val="clear" w:color="auto" w:fill="auto"/>
            <w:vAlign w:val="center"/>
            <w:hideMark/>
          </w:tcPr>
          <w:p w14:paraId="670EE8D0" w14:textId="77777777" w:rsidR="009B58E8" w:rsidRPr="009B58E8" w:rsidRDefault="009B58E8" w:rsidP="001F685B">
            <w:pPr>
              <w:snapToGrid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Role</w:t>
            </w:r>
          </w:p>
        </w:tc>
        <w:tc>
          <w:tcPr>
            <w:tcW w:w="1443" w:type="dxa"/>
            <w:tcBorders>
              <w:top w:val="none" w:sz="0" w:space="0" w:color="auto"/>
              <w:left w:val="none" w:sz="0" w:space="0" w:color="auto"/>
              <w:bottom w:val="none" w:sz="0" w:space="0" w:color="auto"/>
            </w:tcBorders>
            <w:shd w:val="clear" w:color="auto" w:fill="auto"/>
            <w:vAlign w:val="center"/>
            <w:hideMark/>
          </w:tcPr>
          <w:p w14:paraId="420656FE" w14:textId="77777777" w:rsidR="009B58E8" w:rsidRPr="009B58E8" w:rsidRDefault="009B58E8" w:rsidP="001F685B">
            <w:pPr>
              <w:snapToGrid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To actor/object</w:t>
            </w:r>
          </w:p>
        </w:tc>
      </w:tr>
      <w:tr w:rsidR="009B58E8" w:rsidRPr="009B58E8" w14:paraId="1C892FBE" w14:textId="77777777" w:rsidTr="001F685B">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1390" w:type="dxa"/>
            <w:vMerge w:val="restart"/>
            <w:shd w:val="clear" w:color="auto" w:fill="auto"/>
            <w:vAlign w:val="center"/>
            <w:hideMark/>
          </w:tcPr>
          <w:p w14:paraId="39FA4FC0" w14:textId="77777777" w:rsidR="009B58E8" w:rsidRPr="009B58E8" w:rsidRDefault="009B58E8" w:rsidP="001F685B">
            <w:pPr>
              <w:snapToGrid w:val="0"/>
              <w:contextualSpacing/>
              <w:jc w:val="center"/>
              <w:rPr>
                <w:rFonts w:ascii="Times New Roman" w:hAnsi="Times New Roman" w:cs="Times New Roman"/>
                <w:color w:val="000000" w:themeColor="text1"/>
                <w:sz w:val="24"/>
                <w:szCs w:val="24"/>
              </w:rPr>
            </w:pPr>
            <w:r w:rsidRPr="009B58E8">
              <w:rPr>
                <w:rFonts w:ascii="Times New Roman" w:hAnsi="Times New Roman" w:cs="Times New Roman"/>
                <w:b w:val="0"/>
                <w:bCs w:val="0"/>
                <w:color w:val="000000" w:themeColor="text1"/>
                <w:sz w:val="24"/>
                <w:szCs w:val="24"/>
              </w:rPr>
              <w:t>Customer</w:t>
            </w:r>
          </w:p>
        </w:tc>
        <w:tc>
          <w:tcPr>
            <w:tcW w:w="1646" w:type="dxa"/>
            <w:shd w:val="clear" w:color="auto" w:fill="auto"/>
            <w:vAlign w:val="center"/>
            <w:hideMark/>
          </w:tcPr>
          <w:p w14:paraId="52D25091" w14:textId="670ABA35"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Fleet Owner Company</w:t>
            </w:r>
          </w:p>
          <w:p w14:paraId="6969A004"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917" w:type="dxa"/>
            <w:shd w:val="clear" w:color="auto" w:fill="auto"/>
            <w:vAlign w:val="center"/>
            <w:hideMark/>
          </w:tcPr>
          <w:p w14:paraId="142CB563" w14:textId="1407B334"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Fleet owner</w:t>
            </w:r>
          </w:p>
          <w:p w14:paraId="12375B14"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840" w:type="dxa"/>
            <w:shd w:val="clear" w:color="auto" w:fill="A6A6A6" w:themeFill="background1" w:themeFillShade="A6"/>
            <w:hideMark/>
          </w:tcPr>
          <w:p w14:paraId="70ADC602"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55924053"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Vehicle</w:t>
            </w:r>
          </w:p>
        </w:tc>
        <w:tc>
          <w:tcPr>
            <w:tcW w:w="1443" w:type="dxa"/>
            <w:shd w:val="clear" w:color="auto" w:fill="auto"/>
            <w:vAlign w:val="center"/>
            <w:hideMark/>
          </w:tcPr>
          <w:p w14:paraId="66BA84E5"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Vehicle</w:t>
            </w:r>
          </w:p>
        </w:tc>
      </w:tr>
      <w:tr w:rsidR="009B58E8" w:rsidRPr="009B58E8" w14:paraId="65BF5608" w14:textId="77777777" w:rsidTr="001F685B">
        <w:trPr>
          <w:trHeight w:val="569"/>
          <w:jc w:val="center"/>
        </w:trPr>
        <w:tc>
          <w:tcPr>
            <w:cnfStyle w:val="001000000000" w:firstRow="0" w:lastRow="0" w:firstColumn="1" w:lastColumn="0" w:oddVBand="0" w:evenVBand="0" w:oddHBand="0" w:evenHBand="0" w:firstRowFirstColumn="0" w:firstRowLastColumn="0" w:lastRowFirstColumn="0" w:lastRowLastColumn="0"/>
            <w:tcW w:w="1390" w:type="dxa"/>
            <w:vMerge/>
            <w:shd w:val="clear" w:color="auto" w:fill="auto"/>
            <w:vAlign w:val="center"/>
          </w:tcPr>
          <w:p w14:paraId="55F94ABD" w14:textId="77777777" w:rsidR="009B58E8" w:rsidRPr="009B58E8" w:rsidRDefault="009B58E8" w:rsidP="001F685B">
            <w:pPr>
              <w:snapToGrid w:val="0"/>
              <w:contextualSpacing/>
              <w:jc w:val="center"/>
              <w:rPr>
                <w:rFonts w:ascii="Times New Roman" w:hAnsi="Times New Roman" w:cs="Times New Roman"/>
                <w:color w:val="000000" w:themeColor="text1"/>
                <w:sz w:val="24"/>
                <w:szCs w:val="24"/>
              </w:rPr>
            </w:pPr>
          </w:p>
        </w:tc>
        <w:tc>
          <w:tcPr>
            <w:tcW w:w="1646" w:type="dxa"/>
            <w:shd w:val="clear" w:color="auto" w:fill="auto"/>
            <w:vAlign w:val="center"/>
            <w:hideMark/>
          </w:tcPr>
          <w:p w14:paraId="57B50FC6" w14:textId="21966796"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Fleet Owner Company</w:t>
            </w:r>
          </w:p>
          <w:p w14:paraId="582AF3F9"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917" w:type="dxa"/>
            <w:shd w:val="clear" w:color="auto" w:fill="auto"/>
            <w:vAlign w:val="center"/>
            <w:hideMark/>
          </w:tcPr>
          <w:p w14:paraId="02DE7785" w14:textId="06729302"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Pays the cost of providing solutions</w:t>
            </w:r>
          </w:p>
          <w:p w14:paraId="2B9BD78C"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840" w:type="dxa"/>
            <w:shd w:val="clear" w:color="auto" w:fill="FA52DA"/>
            <w:hideMark/>
          </w:tcPr>
          <w:p w14:paraId="14A8F27A"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306AE9EB"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System Integrator</w:t>
            </w:r>
          </w:p>
        </w:tc>
        <w:tc>
          <w:tcPr>
            <w:tcW w:w="1443" w:type="dxa"/>
            <w:shd w:val="clear" w:color="auto" w:fill="auto"/>
            <w:vAlign w:val="center"/>
            <w:hideMark/>
          </w:tcPr>
          <w:p w14:paraId="109CADAC"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Solution Provider</w:t>
            </w:r>
          </w:p>
        </w:tc>
      </w:tr>
      <w:tr w:rsidR="009B58E8" w:rsidRPr="009B58E8" w14:paraId="393E0677" w14:textId="77777777" w:rsidTr="001F685B">
        <w:trPr>
          <w:cnfStyle w:val="000000100000" w:firstRow="0" w:lastRow="0" w:firstColumn="0" w:lastColumn="0" w:oddVBand="0" w:evenVBand="0" w:oddHBand="1" w:evenHBand="0" w:firstRowFirstColumn="0" w:firstRowLastColumn="0" w:lastRowFirstColumn="0" w:lastRowLastColumn="0"/>
          <w:trHeight w:val="563"/>
          <w:jc w:val="center"/>
        </w:trPr>
        <w:tc>
          <w:tcPr>
            <w:cnfStyle w:val="001000000000" w:firstRow="0" w:lastRow="0" w:firstColumn="1" w:lastColumn="0" w:oddVBand="0" w:evenVBand="0" w:oddHBand="0" w:evenHBand="0" w:firstRowFirstColumn="0" w:firstRowLastColumn="0" w:lastRowFirstColumn="0" w:lastRowLastColumn="0"/>
            <w:tcW w:w="1390" w:type="dxa"/>
            <w:vMerge/>
            <w:shd w:val="clear" w:color="auto" w:fill="auto"/>
            <w:vAlign w:val="center"/>
          </w:tcPr>
          <w:p w14:paraId="785453BC" w14:textId="77777777" w:rsidR="009B58E8" w:rsidRPr="009B58E8" w:rsidRDefault="009B58E8" w:rsidP="001F685B">
            <w:pPr>
              <w:snapToGrid w:val="0"/>
              <w:contextualSpacing/>
              <w:jc w:val="center"/>
              <w:rPr>
                <w:rFonts w:ascii="Times New Roman" w:hAnsi="Times New Roman" w:cs="Times New Roman"/>
                <w:color w:val="000000" w:themeColor="text1"/>
                <w:sz w:val="24"/>
                <w:szCs w:val="24"/>
              </w:rPr>
            </w:pPr>
          </w:p>
        </w:tc>
        <w:tc>
          <w:tcPr>
            <w:tcW w:w="1646" w:type="dxa"/>
            <w:shd w:val="clear" w:color="auto" w:fill="auto"/>
            <w:vAlign w:val="center"/>
            <w:hideMark/>
          </w:tcPr>
          <w:p w14:paraId="561D438A" w14:textId="2210A14A"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Government Agency</w:t>
            </w:r>
          </w:p>
          <w:p w14:paraId="3BB4E2DE"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917" w:type="dxa"/>
            <w:shd w:val="clear" w:color="auto" w:fill="auto"/>
            <w:vAlign w:val="center"/>
            <w:hideMark/>
          </w:tcPr>
          <w:p w14:paraId="25704168" w14:textId="747E6148"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Pays the subscription fee</w:t>
            </w:r>
          </w:p>
          <w:p w14:paraId="5E89F5B1"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840" w:type="dxa"/>
            <w:shd w:val="clear" w:color="auto" w:fill="FA52DA"/>
            <w:hideMark/>
          </w:tcPr>
          <w:p w14:paraId="6DA36901"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3100462C"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Big Data Provider</w:t>
            </w:r>
          </w:p>
        </w:tc>
        <w:tc>
          <w:tcPr>
            <w:tcW w:w="1443" w:type="dxa"/>
            <w:shd w:val="clear" w:color="auto" w:fill="auto"/>
            <w:vAlign w:val="center"/>
            <w:hideMark/>
          </w:tcPr>
          <w:p w14:paraId="7290D4BB"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Solution Provider</w:t>
            </w:r>
          </w:p>
        </w:tc>
      </w:tr>
      <w:tr w:rsidR="009B58E8" w:rsidRPr="009B58E8" w14:paraId="1FD6B812" w14:textId="77777777" w:rsidTr="001F685B">
        <w:trPr>
          <w:trHeight w:val="543"/>
          <w:jc w:val="center"/>
        </w:trPr>
        <w:tc>
          <w:tcPr>
            <w:cnfStyle w:val="001000000000" w:firstRow="0" w:lastRow="0" w:firstColumn="1" w:lastColumn="0" w:oddVBand="0" w:evenVBand="0" w:oddHBand="0" w:evenHBand="0" w:firstRowFirstColumn="0" w:firstRowLastColumn="0" w:lastRowFirstColumn="0" w:lastRowLastColumn="0"/>
            <w:tcW w:w="1390" w:type="dxa"/>
            <w:vMerge/>
            <w:shd w:val="clear" w:color="auto" w:fill="auto"/>
            <w:vAlign w:val="center"/>
          </w:tcPr>
          <w:p w14:paraId="1B8AD8E0"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p>
        </w:tc>
        <w:tc>
          <w:tcPr>
            <w:tcW w:w="1646" w:type="dxa"/>
            <w:shd w:val="clear" w:color="auto" w:fill="auto"/>
            <w:vAlign w:val="center"/>
            <w:hideMark/>
          </w:tcPr>
          <w:p w14:paraId="38AED474"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Public Users</w:t>
            </w:r>
          </w:p>
          <w:p w14:paraId="26194022"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917" w:type="dxa"/>
            <w:shd w:val="clear" w:color="auto" w:fill="auto"/>
            <w:vAlign w:val="center"/>
            <w:hideMark/>
          </w:tcPr>
          <w:p w14:paraId="31BE1199" w14:textId="2F66F1C8"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Pays for transportation usage</w:t>
            </w:r>
          </w:p>
          <w:p w14:paraId="63B5EBBA"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840" w:type="dxa"/>
            <w:shd w:val="clear" w:color="auto" w:fill="FA52DA"/>
            <w:hideMark/>
          </w:tcPr>
          <w:p w14:paraId="552133E8"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75D1365A"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Payment facilities</w:t>
            </w:r>
          </w:p>
        </w:tc>
        <w:tc>
          <w:tcPr>
            <w:tcW w:w="1443" w:type="dxa"/>
            <w:shd w:val="clear" w:color="auto" w:fill="auto"/>
            <w:vAlign w:val="center"/>
            <w:hideMark/>
          </w:tcPr>
          <w:p w14:paraId="761F0A30"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Application</w:t>
            </w:r>
          </w:p>
        </w:tc>
      </w:tr>
      <w:tr w:rsidR="009B58E8" w:rsidRPr="009B58E8" w14:paraId="6C4195E2" w14:textId="77777777" w:rsidTr="001F685B">
        <w:trPr>
          <w:cnfStyle w:val="000000100000" w:firstRow="0" w:lastRow="0" w:firstColumn="0" w:lastColumn="0" w:oddVBand="0" w:evenVBand="0" w:oddHBand="1" w:evenHBand="0" w:firstRowFirstColumn="0" w:firstRowLastColumn="0" w:lastRowFirstColumn="0" w:lastRowLastColumn="0"/>
          <w:trHeight w:val="565"/>
          <w:jc w:val="center"/>
        </w:trPr>
        <w:tc>
          <w:tcPr>
            <w:cnfStyle w:val="001000000000" w:firstRow="0" w:lastRow="0" w:firstColumn="1" w:lastColumn="0" w:oddVBand="0" w:evenVBand="0" w:oddHBand="0" w:evenHBand="0" w:firstRowFirstColumn="0" w:firstRowLastColumn="0" w:lastRowFirstColumn="0" w:lastRowLastColumn="0"/>
            <w:tcW w:w="1390" w:type="dxa"/>
            <w:vMerge w:val="restart"/>
            <w:shd w:val="clear" w:color="auto" w:fill="auto"/>
            <w:vAlign w:val="center"/>
            <w:hideMark/>
          </w:tcPr>
          <w:p w14:paraId="0B603BEC"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r w:rsidRPr="009B58E8">
              <w:rPr>
                <w:rFonts w:ascii="Times New Roman" w:hAnsi="Times New Roman" w:cs="Times New Roman"/>
                <w:b w:val="0"/>
                <w:bCs w:val="0"/>
                <w:color w:val="000000" w:themeColor="text1"/>
                <w:sz w:val="24"/>
                <w:szCs w:val="24"/>
              </w:rPr>
              <w:t>Solution Provider</w:t>
            </w:r>
          </w:p>
        </w:tc>
        <w:tc>
          <w:tcPr>
            <w:tcW w:w="1646" w:type="dxa"/>
            <w:shd w:val="clear" w:color="auto" w:fill="auto"/>
            <w:vAlign w:val="center"/>
            <w:hideMark/>
          </w:tcPr>
          <w:p w14:paraId="05E774C0"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System Integrator</w:t>
            </w:r>
          </w:p>
        </w:tc>
        <w:tc>
          <w:tcPr>
            <w:tcW w:w="1917" w:type="dxa"/>
            <w:shd w:val="clear" w:color="auto" w:fill="auto"/>
            <w:vAlign w:val="center"/>
            <w:hideMark/>
          </w:tcPr>
          <w:p w14:paraId="1B769D14" w14:textId="1B564B6B"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Management</w:t>
            </w:r>
          </w:p>
          <w:p w14:paraId="3074CC01"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840" w:type="dxa"/>
            <w:shd w:val="clear" w:color="auto" w:fill="A6A6A6" w:themeFill="background1" w:themeFillShade="A6"/>
            <w:hideMark/>
          </w:tcPr>
          <w:p w14:paraId="0BC2FDA3"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5288FD54"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Technical team</w:t>
            </w:r>
          </w:p>
        </w:tc>
        <w:tc>
          <w:tcPr>
            <w:tcW w:w="1443" w:type="dxa"/>
            <w:shd w:val="clear" w:color="auto" w:fill="auto"/>
            <w:vAlign w:val="center"/>
            <w:hideMark/>
          </w:tcPr>
          <w:p w14:paraId="6C6B524F"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Technical team</w:t>
            </w:r>
          </w:p>
        </w:tc>
      </w:tr>
      <w:tr w:rsidR="009B58E8" w:rsidRPr="009B58E8" w14:paraId="4A1FA993" w14:textId="77777777" w:rsidTr="001F685B">
        <w:trPr>
          <w:trHeight w:val="545"/>
          <w:jc w:val="center"/>
        </w:trPr>
        <w:tc>
          <w:tcPr>
            <w:cnfStyle w:val="001000000000" w:firstRow="0" w:lastRow="0" w:firstColumn="1" w:lastColumn="0" w:oddVBand="0" w:evenVBand="0" w:oddHBand="0" w:evenHBand="0" w:firstRowFirstColumn="0" w:firstRowLastColumn="0" w:lastRowFirstColumn="0" w:lastRowLastColumn="0"/>
            <w:tcW w:w="1390" w:type="dxa"/>
            <w:vMerge/>
            <w:shd w:val="clear" w:color="auto" w:fill="auto"/>
            <w:vAlign w:val="center"/>
          </w:tcPr>
          <w:p w14:paraId="2B20029A"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p>
        </w:tc>
        <w:tc>
          <w:tcPr>
            <w:tcW w:w="1646" w:type="dxa"/>
            <w:shd w:val="clear" w:color="auto" w:fill="auto"/>
            <w:vAlign w:val="center"/>
            <w:hideMark/>
          </w:tcPr>
          <w:p w14:paraId="06109F65"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System Integrator</w:t>
            </w:r>
          </w:p>
        </w:tc>
        <w:tc>
          <w:tcPr>
            <w:tcW w:w="1917" w:type="dxa"/>
            <w:shd w:val="clear" w:color="auto" w:fill="auto"/>
            <w:vAlign w:val="center"/>
            <w:hideMark/>
          </w:tcPr>
          <w:p w14:paraId="46BFAA2D" w14:textId="5897FF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Device distribution</w:t>
            </w:r>
          </w:p>
          <w:p w14:paraId="41F05AF0"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840" w:type="dxa"/>
            <w:shd w:val="clear" w:color="auto" w:fill="FFC000"/>
            <w:hideMark/>
          </w:tcPr>
          <w:p w14:paraId="3CDD73D1"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16B0EF79"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Technical team</w:t>
            </w:r>
          </w:p>
        </w:tc>
        <w:tc>
          <w:tcPr>
            <w:tcW w:w="1443" w:type="dxa"/>
            <w:shd w:val="clear" w:color="auto" w:fill="auto"/>
            <w:vAlign w:val="center"/>
            <w:hideMark/>
          </w:tcPr>
          <w:p w14:paraId="1CDFA091"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Technical team</w:t>
            </w:r>
          </w:p>
        </w:tc>
      </w:tr>
      <w:tr w:rsidR="009B58E8" w:rsidRPr="009B58E8" w14:paraId="25339D1C" w14:textId="77777777" w:rsidTr="001F685B">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390" w:type="dxa"/>
            <w:vMerge/>
            <w:shd w:val="clear" w:color="auto" w:fill="auto"/>
            <w:vAlign w:val="center"/>
          </w:tcPr>
          <w:p w14:paraId="3BB95082"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p>
        </w:tc>
        <w:tc>
          <w:tcPr>
            <w:tcW w:w="1646" w:type="dxa"/>
            <w:shd w:val="clear" w:color="auto" w:fill="auto"/>
            <w:vAlign w:val="center"/>
            <w:hideMark/>
          </w:tcPr>
          <w:p w14:paraId="4F52587A"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System Integrator</w:t>
            </w:r>
          </w:p>
        </w:tc>
        <w:tc>
          <w:tcPr>
            <w:tcW w:w="1917" w:type="dxa"/>
            <w:shd w:val="clear" w:color="auto" w:fill="auto"/>
            <w:vAlign w:val="center"/>
            <w:hideMark/>
          </w:tcPr>
          <w:p w14:paraId="25192494"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Management and operation</w:t>
            </w:r>
          </w:p>
          <w:p w14:paraId="509CF697"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840" w:type="dxa"/>
            <w:shd w:val="clear" w:color="auto" w:fill="A6A6A6" w:themeFill="background1" w:themeFillShade="A6"/>
            <w:hideMark/>
          </w:tcPr>
          <w:p w14:paraId="30ACDADE"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72555295"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Service Platform</w:t>
            </w:r>
          </w:p>
        </w:tc>
        <w:tc>
          <w:tcPr>
            <w:tcW w:w="1443" w:type="dxa"/>
            <w:shd w:val="clear" w:color="auto" w:fill="auto"/>
            <w:vAlign w:val="center"/>
            <w:hideMark/>
          </w:tcPr>
          <w:p w14:paraId="4E4E1976"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Service Platform</w:t>
            </w:r>
          </w:p>
        </w:tc>
      </w:tr>
      <w:tr w:rsidR="009B58E8" w:rsidRPr="009B58E8" w14:paraId="5C977CDF" w14:textId="77777777" w:rsidTr="001F685B">
        <w:trPr>
          <w:trHeight w:val="561"/>
          <w:jc w:val="center"/>
        </w:trPr>
        <w:tc>
          <w:tcPr>
            <w:cnfStyle w:val="001000000000" w:firstRow="0" w:lastRow="0" w:firstColumn="1" w:lastColumn="0" w:oddVBand="0" w:evenVBand="0" w:oddHBand="0" w:evenHBand="0" w:firstRowFirstColumn="0" w:firstRowLastColumn="0" w:lastRowFirstColumn="0" w:lastRowLastColumn="0"/>
            <w:tcW w:w="1390" w:type="dxa"/>
            <w:vMerge/>
            <w:shd w:val="clear" w:color="auto" w:fill="auto"/>
            <w:vAlign w:val="center"/>
          </w:tcPr>
          <w:p w14:paraId="481EFB76"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p>
        </w:tc>
        <w:tc>
          <w:tcPr>
            <w:tcW w:w="1646" w:type="dxa"/>
            <w:shd w:val="clear" w:color="auto" w:fill="auto"/>
            <w:vAlign w:val="center"/>
            <w:hideMark/>
          </w:tcPr>
          <w:p w14:paraId="67A1B1DC"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System Integrator</w:t>
            </w:r>
          </w:p>
        </w:tc>
        <w:tc>
          <w:tcPr>
            <w:tcW w:w="1917" w:type="dxa"/>
            <w:shd w:val="clear" w:color="auto" w:fill="auto"/>
            <w:vAlign w:val="center"/>
            <w:hideMark/>
          </w:tcPr>
          <w:p w14:paraId="41313683"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Deliver Solution</w:t>
            </w:r>
          </w:p>
        </w:tc>
        <w:tc>
          <w:tcPr>
            <w:tcW w:w="840" w:type="dxa"/>
            <w:shd w:val="clear" w:color="auto" w:fill="FFC000"/>
            <w:hideMark/>
          </w:tcPr>
          <w:p w14:paraId="18052785"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18C9CA52" w14:textId="1F5BA975"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Fleet Owner Company</w:t>
            </w:r>
          </w:p>
          <w:p w14:paraId="10637DB0"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43" w:type="dxa"/>
            <w:shd w:val="clear" w:color="auto" w:fill="auto"/>
            <w:vAlign w:val="center"/>
            <w:hideMark/>
          </w:tcPr>
          <w:p w14:paraId="53D990DE"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Customer</w:t>
            </w:r>
          </w:p>
        </w:tc>
      </w:tr>
      <w:tr w:rsidR="009B58E8" w:rsidRPr="009B58E8" w14:paraId="40A4F217" w14:textId="77777777" w:rsidTr="001F685B">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1390" w:type="dxa"/>
            <w:vMerge/>
            <w:shd w:val="clear" w:color="auto" w:fill="auto"/>
            <w:vAlign w:val="center"/>
          </w:tcPr>
          <w:p w14:paraId="3A9E6A41"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p>
        </w:tc>
        <w:tc>
          <w:tcPr>
            <w:tcW w:w="1646" w:type="dxa"/>
            <w:shd w:val="clear" w:color="auto" w:fill="auto"/>
            <w:vAlign w:val="center"/>
            <w:hideMark/>
          </w:tcPr>
          <w:p w14:paraId="6A5F0106"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Big Data Provider</w:t>
            </w:r>
          </w:p>
        </w:tc>
        <w:tc>
          <w:tcPr>
            <w:tcW w:w="1917" w:type="dxa"/>
            <w:shd w:val="clear" w:color="auto" w:fill="auto"/>
            <w:vAlign w:val="center"/>
            <w:hideMark/>
          </w:tcPr>
          <w:p w14:paraId="59B732F9"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Deliver Insight</w:t>
            </w:r>
          </w:p>
        </w:tc>
        <w:tc>
          <w:tcPr>
            <w:tcW w:w="840" w:type="dxa"/>
            <w:shd w:val="clear" w:color="auto" w:fill="FFC000"/>
            <w:hideMark/>
          </w:tcPr>
          <w:p w14:paraId="642B5498"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6D5938C3" w14:textId="1A80BEF4"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Government Agency</w:t>
            </w:r>
          </w:p>
          <w:p w14:paraId="12E3801D"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43" w:type="dxa"/>
            <w:shd w:val="clear" w:color="auto" w:fill="auto"/>
            <w:vAlign w:val="center"/>
            <w:hideMark/>
          </w:tcPr>
          <w:p w14:paraId="3CB681F9"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Customer</w:t>
            </w:r>
          </w:p>
        </w:tc>
      </w:tr>
      <w:tr w:rsidR="009B58E8" w:rsidRPr="009B58E8" w14:paraId="5DF8CB7E" w14:textId="77777777" w:rsidTr="001F685B">
        <w:trPr>
          <w:trHeight w:val="735"/>
          <w:jc w:val="center"/>
        </w:trPr>
        <w:tc>
          <w:tcPr>
            <w:cnfStyle w:val="001000000000" w:firstRow="0" w:lastRow="0" w:firstColumn="1" w:lastColumn="0" w:oddVBand="0" w:evenVBand="0" w:oddHBand="0" w:evenHBand="0" w:firstRowFirstColumn="0" w:firstRowLastColumn="0" w:lastRowFirstColumn="0" w:lastRowLastColumn="0"/>
            <w:tcW w:w="1390" w:type="dxa"/>
            <w:vMerge w:val="restart"/>
            <w:shd w:val="clear" w:color="auto" w:fill="auto"/>
            <w:vAlign w:val="center"/>
            <w:hideMark/>
          </w:tcPr>
          <w:p w14:paraId="12E844E2"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r w:rsidRPr="009B58E8">
              <w:rPr>
                <w:rFonts w:ascii="Times New Roman" w:hAnsi="Times New Roman" w:cs="Times New Roman"/>
                <w:b w:val="0"/>
                <w:bCs w:val="0"/>
                <w:color w:val="000000" w:themeColor="text1"/>
                <w:sz w:val="24"/>
                <w:szCs w:val="24"/>
              </w:rPr>
              <w:t>Device Provider</w:t>
            </w:r>
          </w:p>
        </w:tc>
        <w:tc>
          <w:tcPr>
            <w:tcW w:w="1646" w:type="dxa"/>
            <w:shd w:val="clear" w:color="auto" w:fill="auto"/>
            <w:vAlign w:val="center"/>
            <w:hideMark/>
          </w:tcPr>
          <w:p w14:paraId="73A7547C"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Providing Software Development Kit (SDK) for Devices</w:t>
            </w:r>
          </w:p>
        </w:tc>
        <w:tc>
          <w:tcPr>
            <w:tcW w:w="1917" w:type="dxa"/>
            <w:shd w:val="clear" w:color="auto" w:fill="auto"/>
            <w:vAlign w:val="center"/>
            <w:hideMark/>
          </w:tcPr>
          <w:p w14:paraId="756116B3"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Provision of Software Development Kit (SDK)</w:t>
            </w:r>
          </w:p>
        </w:tc>
        <w:tc>
          <w:tcPr>
            <w:tcW w:w="840" w:type="dxa"/>
            <w:shd w:val="clear" w:color="auto" w:fill="00B0F0"/>
            <w:hideMark/>
          </w:tcPr>
          <w:p w14:paraId="28B0C265"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201E6FCA"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Technical team</w:t>
            </w:r>
          </w:p>
        </w:tc>
        <w:tc>
          <w:tcPr>
            <w:tcW w:w="1443" w:type="dxa"/>
            <w:shd w:val="clear" w:color="auto" w:fill="auto"/>
            <w:vAlign w:val="center"/>
            <w:hideMark/>
          </w:tcPr>
          <w:p w14:paraId="4AB35CB8"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Technical team</w:t>
            </w:r>
          </w:p>
        </w:tc>
      </w:tr>
      <w:tr w:rsidR="009B58E8" w:rsidRPr="009B58E8" w14:paraId="4457B611" w14:textId="77777777" w:rsidTr="001F685B">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390" w:type="dxa"/>
            <w:vMerge/>
            <w:shd w:val="clear" w:color="auto" w:fill="auto"/>
            <w:vAlign w:val="center"/>
            <w:hideMark/>
          </w:tcPr>
          <w:p w14:paraId="2CA39A02"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p>
        </w:tc>
        <w:tc>
          <w:tcPr>
            <w:tcW w:w="1646" w:type="dxa"/>
            <w:shd w:val="clear" w:color="auto" w:fill="auto"/>
            <w:vAlign w:val="center"/>
            <w:hideMark/>
          </w:tcPr>
          <w:p w14:paraId="1B581486" w14:textId="73084568"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Device Production</w:t>
            </w:r>
          </w:p>
          <w:p w14:paraId="1D180B55"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917" w:type="dxa"/>
            <w:shd w:val="clear" w:color="auto" w:fill="auto"/>
            <w:vAlign w:val="center"/>
            <w:hideMark/>
          </w:tcPr>
          <w:p w14:paraId="3E778DA0"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Delivery device</w:t>
            </w:r>
          </w:p>
        </w:tc>
        <w:tc>
          <w:tcPr>
            <w:tcW w:w="840" w:type="dxa"/>
            <w:shd w:val="clear" w:color="auto" w:fill="FFC000"/>
            <w:hideMark/>
          </w:tcPr>
          <w:p w14:paraId="0B81137C"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71D54626"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System Integrator</w:t>
            </w:r>
          </w:p>
        </w:tc>
        <w:tc>
          <w:tcPr>
            <w:tcW w:w="1443" w:type="dxa"/>
            <w:shd w:val="clear" w:color="auto" w:fill="auto"/>
            <w:vAlign w:val="center"/>
            <w:hideMark/>
          </w:tcPr>
          <w:p w14:paraId="1DF1124C"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Solution Provider</w:t>
            </w:r>
          </w:p>
        </w:tc>
      </w:tr>
      <w:tr w:rsidR="009B58E8" w:rsidRPr="009B58E8" w14:paraId="33E87841" w14:textId="77777777" w:rsidTr="001F685B">
        <w:trPr>
          <w:trHeight w:val="424"/>
          <w:jc w:val="center"/>
        </w:trPr>
        <w:tc>
          <w:tcPr>
            <w:cnfStyle w:val="001000000000" w:firstRow="0" w:lastRow="0" w:firstColumn="1" w:lastColumn="0" w:oddVBand="0" w:evenVBand="0" w:oddHBand="0" w:evenHBand="0" w:firstRowFirstColumn="0" w:firstRowLastColumn="0" w:lastRowFirstColumn="0" w:lastRowLastColumn="0"/>
            <w:tcW w:w="1390" w:type="dxa"/>
            <w:vMerge w:val="restart"/>
            <w:shd w:val="clear" w:color="auto" w:fill="auto"/>
            <w:vAlign w:val="center"/>
            <w:hideMark/>
          </w:tcPr>
          <w:p w14:paraId="73F07673"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r w:rsidRPr="009B58E8">
              <w:rPr>
                <w:rFonts w:ascii="Times New Roman" w:hAnsi="Times New Roman" w:cs="Times New Roman"/>
                <w:b w:val="0"/>
                <w:bCs w:val="0"/>
                <w:color w:val="000000" w:themeColor="text1"/>
                <w:sz w:val="24"/>
                <w:szCs w:val="24"/>
              </w:rPr>
              <w:t>Technical Team</w:t>
            </w:r>
          </w:p>
        </w:tc>
        <w:tc>
          <w:tcPr>
            <w:tcW w:w="1646" w:type="dxa"/>
            <w:shd w:val="clear" w:color="auto" w:fill="auto"/>
            <w:vAlign w:val="center"/>
            <w:hideMark/>
          </w:tcPr>
          <w:p w14:paraId="6AFD1688"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Technical Team</w:t>
            </w:r>
          </w:p>
        </w:tc>
        <w:tc>
          <w:tcPr>
            <w:tcW w:w="1917" w:type="dxa"/>
            <w:shd w:val="clear" w:color="auto" w:fill="auto"/>
            <w:vAlign w:val="center"/>
            <w:hideMark/>
          </w:tcPr>
          <w:p w14:paraId="0A5649E2" w14:textId="5A306FE4"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Device</w:t>
            </w:r>
          </w:p>
        </w:tc>
        <w:tc>
          <w:tcPr>
            <w:tcW w:w="840" w:type="dxa"/>
            <w:shd w:val="clear" w:color="auto" w:fill="FFC000"/>
            <w:hideMark/>
          </w:tcPr>
          <w:p w14:paraId="2B5D1AED"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2DDEB5F0"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Vehicle</w:t>
            </w:r>
          </w:p>
        </w:tc>
        <w:tc>
          <w:tcPr>
            <w:tcW w:w="1443" w:type="dxa"/>
            <w:shd w:val="clear" w:color="auto" w:fill="auto"/>
            <w:vAlign w:val="center"/>
            <w:hideMark/>
          </w:tcPr>
          <w:p w14:paraId="53F688BC"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Vehicle</w:t>
            </w:r>
          </w:p>
        </w:tc>
      </w:tr>
      <w:tr w:rsidR="009B58E8" w:rsidRPr="009B58E8" w14:paraId="17C233E6" w14:textId="77777777" w:rsidTr="001F685B">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1390" w:type="dxa"/>
            <w:vMerge/>
            <w:shd w:val="clear" w:color="auto" w:fill="auto"/>
            <w:vAlign w:val="center"/>
            <w:hideMark/>
          </w:tcPr>
          <w:p w14:paraId="785A14ED"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p>
        </w:tc>
        <w:tc>
          <w:tcPr>
            <w:tcW w:w="1646" w:type="dxa"/>
            <w:shd w:val="clear" w:color="auto" w:fill="auto"/>
            <w:vAlign w:val="center"/>
            <w:hideMark/>
          </w:tcPr>
          <w:p w14:paraId="32E1B498"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Technical Team</w:t>
            </w:r>
          </w:p>
        </w:tc>
        <w:tc>
          <w:tcPr>
            <w:tcW w:w="1917" w:type="dxa"/>
            <w:shd w:val="clear" w:color="auto" w:fill="auto"/>
            <w:vAlign w:val="center"/>
            <w:hideMark/>
          </w:tcPr>
          <w:p w14:paraId="17DA05A9"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Installation</w:t>
            </w:r>
          </w:p>
        </w:tc>
        <w:tc>
          <w:tcPr>
            <w:tcW w:w="840" w:type="dxa"/>
            <w:shd w:val="clear" w:color="auto" w:fill="FFC000"/>
            <w:hideMark/>
          </w:tcPr>
          <w:p w14:paraId="2217E117"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0922E7C8"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Sensors</w:t>
            </w:r>
          </w:p>
        </w:tc>
        <w:tc>
          <w:tcPr>
            <w:tcW w:w="1443" w:type="dxa"/>
            <w:shd w:val="clear" w:color="auto" w:fill="auto"/>
            <w:vAlign w:val="center"/>
            <w:hideMark/>
          </w:tcPr>
          <w:p w14:paraId="1B228E85"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Sensors</w:t>
            </w:r>
          </w:p>
        </w:tc>
      </w:tr>
      <w:tr w:rsidR="009B58E8" w:rsidRPr="009B58E8" w14:paraId="6567460E" w14:textId="77777777" w:rsidTr="001F685B">
        <w:trPr>
          <w:trHeight w:val="423"/>
          <w:jc w:val="center"/>
        </w:trPr>
        <w:tc>
          <w:tcPr>
            <w:cnfStyle w:val="001000000000" w:firstRow="0" w:lastRow="0" w:firstColumn="1" w:lastColumn="0" w:oddVBand="0" w:evenVBand="0" w:oddHBand="0" w:evenHBand="0" w:firstRowFirstColumn="0" w:firstRowLastColumn="0" w:lastRowFirstColumn="0" w:lastRowLastColumn="0"/>
            <w:tcW w:w="1390" w:type="dxa"/>
            <w:vMerge/>
            <w:shd w:val="clear" w:color="auto" w:fill="auto"/>
            <w:vAlign w:val="center"/>
          </w:tcPr>
          <w:p w14:paraId="104DBF25"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p>
        </w:tc>
        <w:tc>
          <w:tcPr>
            <w:tcW w:w="1646" w:type="dxa"/>
            <w:shd w:val="clear" w:color="auto" w:fill="auto"/>
            <w:vAlign w:val="center"/>
            <w:hideMark/>
          </w:tcPr>
          <w:p w14:paraId="11AAB7F3"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Technical Team</w:t>
            </w:r>
          </w:p>
        </w:tc>
        <w:tc>
          <w:tcPr>
            <w:tcW w:w="1917" w:type="dxa"/>
            <w:shd w:val="clear" w:color="auto" w:fill="auto"/>
            <w:vAlign w:val="center"/>
            <w:hideMark/>
          </w:tcPr>
          <w:p w14:paraId="5D5FA005"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Maintenance &amp; calibration</w:t>
            </w:r>
          </w:p>
        </w:tc>
        <w:tc>
          <w:tcPr>
            <w:tcW w:w="840" w:type="dxa"/>
            <w:shd w:val="clear" w:color="auto" w:fill="A6A6A6" w:themeFill="background1" w:themeFillShade="A6"/>
            <w:hideMark/>
          </w:tcPr>
          <w:p w14:paraId="388AC93E"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3F5718CE"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Sensors</w:t>
            </w:r>
          </w:p>
        </w:tc>
        <w:tc>
          <w:tcPr>
            <w:tcW w:w="1443" w:type="dxa"/>
            <w:shd w:val="clear" w:color="auto" w:fill="auto"/>
            <w:vAlign w:val="center"/>
            <w:hideMark/>
          </w:tcPr>
          <w:p w14:paraId="0B5F630B"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Sensors</w:t>
            </w:r>
          </w:p>
        </w:tc>
      </w:tr>
      <w:tr w:rsidR="009B58E8" w:rsidRPr="009B58E8" w14:paraId="693C3A05" w14:textId="77777777" w:rsidTr="001F685B">
        <w:trPr>
          <w:cnfStyle w:val="000000100000" w:firstRow="0" w:lastRow="0" w:firstColumn="0" w:lastColumn="0" w:oddVBand="0" w:evenVBand="0" w:oddHBand="1" w:evenHBand="0" w:firstRowFirstColumn="0" w:firstRowLastColumn="0" w:lastRowFirstColumn="0" w:lastRowLastColumn="0"/>
          <w:trHeight w:val="515"/>
          <w:jc w:val="center"/>
        </w:trPr>
        <w:tc>
          <w:tcPr>
            <w:cnfStyle w:val="001000000000" w:firstRow="0" w:lastRow="0" w:firstColumn="1" w:lastColumn="0" w:oddVBand="0" w:evenVBand="0" w:oddHBand="0" w:evenHBand="0" w:firstRowFirstColumn="0" w:firstRowLastColumn="0" w:lastRowFirstColumn="0" w:lastRowLastColumn="0"/>
            <w:tcW w:w="1390" w:type="dxa"/>
            <w:vMerge/>
            <w:shd w:val="clear" w:color="auto" w:fill="auto"/>
            <w:vAlign w:val="center"/>
          </w:tcPr>
          <w:p w14:paraId="45F7759B"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p>
        </w:tc>
        <w:tc>
          <w:tcPr>
            <w:tcW w:w="1646" w:type="dxa"/>
            <w:shd w:val="clear" w:color="auto" w:fill="auto"/>
            <w:vAlign w:val="center"/>
            <w:hideMark/>
          </w:tcPr>
          <w:p w14:paraId="41679213"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Technical Team</w:t>
            </w:r>
          </w:p>
        </w:tc>
        <w:tc>
          <w:tcPr>
            <w:tcW w:w="1917" w:type="dxa"/>
            <w:shd w:val="clear" w:color="auto" w:fill="auto"/>
            <w:vAlign w:val="center"/>
            <w:hideMark/>
          </w:tcPr>
          <w:p w14:paraId="3D5BC9C8"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Maintenance</w:t>
            </w:r>
          </w:p>
        </w:tc>
        <w:tc>
          <w:tcPr>
            <w:tcW w:w="840" w:type="dxa"/>
            <w:shd w:val="clear" w:color="auto" w:fill="A6A6A6" w:themeFill="background1" w:themeFillShade="A6"/>
            <w:hideMark/>
          </w:tcPr>
          <w:p w14:paraId="0558C032"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38D1FD08"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Network Modules</w:t>
            </w:r>
          </w:p>
        </w:tc>
        <w:tc>
          <w:tcPr>
            <w:tcW w:w="1443" w:type="dxa"/>
            <w:shd w:val="clear" w:color="auto" w:fill="auto"/>
            <w:vAlign w:val="center"/>
            <w:hideMark/>
          </w:tcPr>
          <w:p w14:paraId="6AE4DE97"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Network Modules</w:t>
            </w:r>
          </w:p>
        </w:tc>
      </w:tr>
      <w:tr w:rsidR="009B58E8" w:rsidRPr="009B58E8" w14:paraId="5749AE1A" w14:textId="77777777" w:rsidTr="001F685B">
        <w:trPr>
          <w:trHeight w:val="735"/>
          <w:jc w:val="center"/>
        </w:trPr>
        <w:tc>
          <w:tcPr>
            <w:cnfStyle w:val="001000000000" w:firstRow="0" w:lastRow="0" w:firstColumn="1" w:lastColumn="0" w:oddVBand="0" w:evenVBand="0" w:oddHBand="0" w:evenHBand="0" w:firstRowFirstColumn="0" w:firstRowLastColumn="0" w:lastRowFirstColumn="0" w:lastRowLastColumn="0"/>
            <w:tcW w:w="1390" w:type="dxa"/>
            <w:vMerge/>
            <w:shd w:val="clear" w:color="auto" w:fill="auto"/>
            <w:vAlign w:val="center"/>
          </w:tcPr>
          <w:p w14:paraId="468AB2B3"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p>
        </w:tc>
        <w:tc>
          <w:tcPr>
            <w:tcW w:w="1646" w:type="dxa"/>
            <w:shd w:val="clear" w:color="auto" w:fill="auto"/>
            <w:vAlign w:val="center"/>
            <w:hideMark/>
          </w:tcPr>
          <w:p w14:paraId="51F6518C"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Technical Team</w:t>
            </w:r>
          </w:p>
        </w:tc>
        <w:tc>
          <w:tcPr>
            <w:tcW w:w="1917" w:type="dxa"/>
            <w:shd w:val="clear" w:color="auto" w:fill="auto"/>
            <w:vAlign w:val="center"/>
            <w:hideMark/>
          </w:tcPr>
          <w:p w14:paraId="71A33D80"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Management of Software Development Kit (SDK) Device Documentation</w:t>
            </w:r>
          </w:p>
        </w:tc>
        <w:tc>
          <w:tcPr>
            <w:tcW w:w="840" w:type="dxa"/>
            <w:shd w:val="clear" w:color="auto" w:fill="00B0F0"/>
            <w:hideMark/>
          </w:tcPr>
          <w:p w14:paraId="1E7B48F2" w14:textId="77777777" w:rsidR="009B58E8" w:rsidRPr="009B58E8" w:rsidRDefault="009B58E8" w:rsidP="001F685B">
            <w:pPr>
              <w:snapToGri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7AAA1FB0"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Service Platform</w:t>
            </w:r>
          </w:p>
        </w:tc>
        <w:tc>
          <w:tcPr>
            <w:tcW w:w="1443" w:type="dxa"/>
            <w:shd w:val="clear" w:color="auto" w:fill="auto"/>
            <w:vAlign w:val="center"/>
            <w:hideMark/>
          </w:tcPr>
          <w:p w14:paraId="6B8E907B"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Service Platform</w:t>
            </w:r>
          </w:p>
        </w:tc>
      </w:tr>
      <w:tr w:rsidR="009B58E8" w:rsidRPr="009B58E8" w14:paraId="5EC25468" w14:textId="77777777" w:rsidTr="001F685B">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1390" w:type="dxa"/>
            <w:vMerge/>
            <w:shd w:val="clear" w:color="auto" w:fill="auto"/>
            <w:vAlign w:val="center"/>
          </w:tcPr>
          <w:p w14:paraId="40A8F92E"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p>
        </w:tc>
        <w:tc>
          <w:tcPr>
            <w:tcW w:w="1646" w:type="dxa"/>
            <w:shd w:val="clear" w:color="auto" w:fill="auto"/>
            <w:vAlign w:val="center"/>
            <w:hideMark/>
          </w:tcPr>
          <w:p w14:paraId="2D6C3C78"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Technical Team</w:t>
            </w:r>
          </w:p>
        </w:tc>
        <w:tc>
          <w:tcPr>
            <w:tcW w:w="1917" w:type="dxa"/>
            <w:shd w:val="clear" w:color="auto" w:fill="auto"/>
            <w:vAlign w:val="center"/>
            <w:hideMark/>
          </w:tcPr>
          <w:p w14:paraId="2C588A82"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Operation and management</w:t>
            </w:r>
          </w:p>
        </w:tc>
        <w:tc>
          <w:tcPr>
            <w:tcW w:w="840" w:type="dxa"/>
            <w:shd w:val="clear" w:color="auto" w:fill="A6A6A6" w:themeFill="background1" w:themeFillShade="A6"/>
            <w:hideMark/>
          </w:tcPr>
          <w:p w14:paraId="5BC65892"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6340AD7B"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Service Platform</w:t>
            </w:r>
          </w:p>
        </w:tc>
        <w:tc>
          <w:tcPr>
            <w:tcW w:w="1443" w:type="dxa"/>
            <w:shd w:val="clear" w:color="auto" w:fill="auto"/>
            <w:vAlign w:val="center"/>
            <w:hideMark/>
          </w:tcPr>
          <w:p w14:paraId="434C3CB9"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Service Platform</w:t>
            </w:r>
          </w:p>
        </w:tc>
      </w:tr>
      <w:tr w:rsidR="009B58E8" w:rsidRPr="009B58E8" w14:paraId="6A84C24F" w14:textId="77777777" w:rsidTr="001F685B">
        <w:trPr>
          <w:trHeight w:val="558"/>
          <w:jc w:val="center"/>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hideMark/>
          </w:tcPr>
          <w:p w14:paraId="602CF365"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r w:rsidRPr="009B58E8">
              <w:rPr>
                <w:rFonts w:ascii="Times New Roman" w:hAnsi="Times New Roman" w:cs="Times New Roman"/>
                <w:b w:val="0"/>
                <w:bCs w:val="0"/>
                <w:color w:val="000000" w:themeColor="text1"/>
                <w:sz w:val="24"/>
                <w:szCs w:val="24"/>
              </w:rPr>
              <w:t>Vehicle</w:t>
            </w:r>
          </w:p>
        </w:tc>
        <w:tc>
          <w:tcPr>
            <w:tcW w:w="1646" w:type="dxa"/>
            <w:shd w:val="clear" w:color="auto" w:fill="auto"/>
            <w:vAlign w:val="center"/>
            <w:hideMark/>
          </w:tcPr>
          <w:p w14:paraId="37824CD3"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Vehicle</w:t>
            </w:r>
          </w:p>
        </w:tc>
        <w:tc>
          <w:tcPr>
            <w:tcW w:w="1917" w:type="dxa"/>
            <w:shd w:val="clear" w:color="auto" w:fill="auto"/>
            <w:vAlign w:val="center"/>
          </w:tcPr>
          <w:p w14:paraId="1CC9FA0B"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Monitoring and measurement</w:t>
            </w:r>
          </w:p>
        </w:tc>
        <w:tc>
          <w:tcPr>
            <w:tcW w:w="840" w:type="dxa"/>
            <w:shd w:val="clear" w:color="auto" w:fill="92D050"/>
            <w:hideMark/>
          </w:tcPr>
          <w:p w14:paraId="0B8A451A"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p>
        </w:tc>
        <w:tc>
          <w:tcPr>
            <w:tcW w:w="1895" w:type="dxa"/>
            <w:shd w:val="clear" w:color="auto" w:fill="auto"/>
            <w:vAlign w:val="center"/>
            <w:hideMark/>
          </w:tcPr>
          <w:p w14:paraId="5289A666"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Sensors</w:t>
            </w:r>
          </w:p>
        </w:tc>
        <w:tc>
          <w:tcPr>
            <w:tcW w:w="1443" w:type="dxa"/>
            <w:shd w:val="clear" w:color="auto" w:fill="auto"/>
            <w:vAlign w:val="center"/>
            <w:hideMark/>
          </w:tcPr>
          <w:p w14:paraId="05C17A7D"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Sensors</w:t>
            </w:r>
          </w:p>
        </w:tc>
      </w:tr>
      <w:tr w:rsidR="009B58E8" w:rsidRPr="009B58E8" w14:paraId="52EC81D6" w14:textId="77777777" w:rsidTr="001F685B">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hideMark/>
          </w:tcPr>
          <w:p w14:paraId="021F33AF"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r w:rsidRPr="009B58E8">
              <w:rPr>
                <w:rFonts w:ascii="Times New Roman" w:hAnsi="Times New Roman" w:cs="Times New Roman"/>
                <w:b w:val="0"/>
                <w:bCs w:val="0"/>
                <w:color w:val="000000" w:themeColor="text1"/>
                <w:sz w:val="24"/>
                <w:szCs w:val="24"/>
              </w:rPr>
              <w:t>Sensors</w:t>
            </w:r>
          </w:p>
        </w:tc>
        <w:tc>
          <w:tcPr>
            <w:tcW w:w="1646" w:type="dxa"/>
            <w:shd w:val="clear" w:color="auto" w:fill="auto"/>
            <w:vAlign w:val="center"/>
            <w:hideMark/>
          </w:tcPr>
          <w:p w14:paraId="020E7208"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Sensors</w:t>
            </w:r>
          </w:p>
        </w:tc>
        <w:tc>
          <w:tcPr>
            <w:tcW w:w="1917" w:type="dxa"/>
            <w:shd w:val="clear" w:color="auto" w:fill="auto"/>
            <w:vAlign w:val="center"/>
            <w:hideMark/>
          </w:tcPr>
          <w:p w14:paraId="7F394BE3"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Sensor data reading</w:t>
            </w:r>
          </w:p>
        </w:tc>
        <w:tc>
          <w:tcPr>
            <w:tcW w:w="840" w:type="dxa"/>
            <w:shd w:val="clear" w:color="auto" w:fill="92D050"/>
            <w:hideMark/>
          </w:tcPr>
          <w:p w14:paraId="54213008"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183C7CBF"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Network Modules</w:t>
            </w:r>
          </w:p>
        </w:tc>
        <w:tc>
          <w:tcPr>
            <w:tcW w:w="1443" w:type="dxa"/>
            <w:shd w:val="clear" w:color="auto" w:fill="auto"/>
            <w:vAlign w:val="center"/>
            <w:hideMark/>
          </w:tcPr>
          <w:p w14:paraId="638A7D0F"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Network Modules</w:t>
            </w:r>
          </w:p>
        </w:tc>
      </w:tr>
      <w:tr w:rsidR="009B58E8" w:rsidRPr="009B58E8" w14:paraId="63A01E62" w14:textId="77777777" w:rsidTr="001F685B">
        <w:trPr>
          <w:trHeight w:val="735"/>
          <w:jc w:val="center"/>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hideMark/>
          </w:tcPr>
          <w:p w14:paraId="563DE354" w14:textId="77777777" w:rsidR="009B58E8" w:rsidRPr="009B58E8" w:rsidRDefault="009B58E8" w:rsidP="001F685B">
            <w:pPr>
              <w:snapToGrid w:val="0"/>
              <w:contextualSpacing/>
              <w:jc w:val="center"/>
              <w:rPr>
                <w:rFonts w:ascii="Times New Roman" w:hAnsi="Times New Roman" w:cs="Times New Roman"/>
                <w:b w:val="0"/>
                <w:bCs w:val="0"/>
                <w:i/>
                <w:iCs/>
                <w:color w:val="000000" w:themeColor="text1"/>
                <w:sz w:val="24"/>
                <w:szCs w:val="24"/>
              </w:rPr>
            </w:pPr>
            <w:r w:rsidRPr="009B58E8">
              <w:rPr>
                <w:rFonts w:ascii="Times New Roman" w:hAnsi="Times New Roman" w:cs="Times New Roman"/>
                <w:b w:val="0"/>
                <w:bCs w:val="0"/>
                <w:color w:val="000000" w:themeColor="text1"/>
                <w:sz w:val="24"/>
                <w:szCs w:val="24"/>
              </w:rPr>
              <w:t>Network Modules</w:t>
            </w:r>
          </w:p>
        </w:tc>
        <w:tc>
          <w:tcPr>
            <w:tcW w:w="1646" w:type="dxa"/>
            <w:shd w:val="clear" w:color="auto" w:fill="auto"/>
            <w:vAlign w:val="center"/>
            <w:hideMark/>
          </w:tcPr>
          <w:p w14:paraId="1F46FFA2"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Network Modules</w:t>
            </w:r>
          </w:p>
        </w:tc>
        <w:tc>
          <w:tcPr>
            <w:tcW w:w="1917" w:type="dxa"/>
            <w:shd w:val="clear" w:color="auto" w:fill="auto"/>
            <w:vAlign w:val="center"/>
            <w:hideMark/>
          </w:tcPr>
          <w:p w14:paraId="01C9B5D5"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Sensor data transmission</w:t>
            </w:r>
          </w:p>
        </w:tc>
        <w:tc>
          <w:tcPr>
            <w:tcW w:w="840" w:type="dxa"/>
            <w:shd w:val="clear" w:color="auto" w:fill="92D050"/>
            <w:hideMark/>
          </w:tcPr>
          <w:p w14:paraId="325166E6" w14:textId="77777777" w:rsidR="009B58E8" w:rsidRPr="009B58E8" w:rsidRDefault="009B58E8" w:rsidP="001F685B">
            <w:pPr>
              <w:snapToGri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p>
        </w:tc>
        <w:tc>
          <w:tcPr>
            <w:tcW w:w="1895" w:type="dxa"/>
            <w:shd w:val="clear" w:color="auto" w:fill="auto"/>
            <w:vAlign w:val="center"/>
            <w:hideMark/>
          </w:tcPr>
          <w:p w14:paraId="77E55A13"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Providing network services and infrastructure</w:t>
            </w:r>
          </w:p>
        </w:tc>
        <w:tc>
          <w:tcPr>
            <w:tcW w:w="1443" w:type="dxa"/>
            <w:shd w:val="clear" w:color="auto" w:fill="auto"/>
            <w:vAlign w:val="center"/>
            <w:hideMark/>
          </w:tcPr>
          <w:p w14:paraId="34BD778D"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Network Provider</w:t>
            </w:r>
          </w:p>
        </w:tc>
      </w:tr>
      <w:tr w:rsidR="009B58E8" w:rsidRPr="009B58E8" w14:paraId="676A1904" w14:textId="77777777" w:rsidTr="001F685B">
        <w:trPr>
          <w:cnfStyle w:val="000000100000" w:firstRow="0" w:lastRow="0" w:firstColumn="0" w:lastColumn="0" w:oddVBand="0" w:evenVBand="0" w:oddHBand="1" w:evenHBand="0" w:firstRowFirstColumn="0" w:firstRowLastColumn="0" w:lastRowFirstColumn="0" w:lastRowLastColumn="0"/>
          <w:trHeight w:val="735"/>
          <w:jc w:val="center"/>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hideMark/>
          </w:tcPr>
          <w:p w14:paraId="10BA7E5B"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r w:rsidRPr="009B58E8">
              <w:rPr>
                <w:rFonts w:ascii="Times New Roman" w:hAnsi="Times New Roman" w:cs="Times New Roman"/>
                <w:b w:val="0"/>
                <w:bCs w:val="0"/>
                <w:color w:val="000000" w:themeColor="text1"/>
                <w:sz w:val="24"/>
                <w:szCs w:val="24"/>
              </w:rPr>
              <w:t>Network Provider</w:t>
            </w:r>
          </w:p>
        </w:tc>
        <w:tc>
          <w:tcPr>
            <w:tcW w:w="1646" w:type="dxa"/>
            <w:shd w:val="clear" w:color="auto" w:fill="auto"/>
            <w:vAlign w:val="center"/>
            <w:hideMark/>
          </w:tcPr>
          <w:p w14:paraId="5D8E19FC"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Managing network data</w:t>
            </w:r>
          </w:p>
        </w:tc>
        <w:tc>
          <w:tcPr>
            <w:tcW w:w="1917" w:type="dxa"/>
            <w:shd w:val="clear" w:color="auto" w:fill="auto"/>
            <w:vAlign w:val="center"/>
            <w:hideMark/>
          </w:tcPr>
          <w:p w14:paraId="2F87C9D7"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Sensor data transmission</w:t>
            </w:r>
          </w:p>
        </w:tc>
        <w:tc>
          <w:tcPr>
            <w:tcW w:w="840" w:type="dxa"/>
            <w:shd w:val="clear" w:color="auto" w:fill="92D050"/>
            <w:hideMark/>
          </w:tcPr>
          <w:p w14:paraId="07570929" w14:textId="77777777" w:rsidR="009B58E8" w:rsidRPr="009B58E8" w:rsidRDefault="009B58E8" w:rsidP="001F685B">
            <w:pPr>
              <w:snapToGrid w:val="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31072B62"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IoT data management</w:t>
            </w:r>
          </w:p>
        </w:tc>
        <w:tc>
          <w:tcPr>
            <w:tcW w:w="1443" w:type="dxa"/>
            <w:shd w:val="clear" w:color="auto" w:fill="auto"/>
            <w:vAlign w:val="center"/>
            <w:hideMark/>
          </w:tcPr>
          <w:p w14:paraId="7B181EFF"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Service Platform</w:t>
            </w:r>
          </w:p>
        </w:tc>
      </w:tr>
      <w:tr w:rsidR="009B58E8" w:rsidRPr="009B58E8" w14:paraId="64B9F37B" w14:textId="77777777" w:rsidTr="001F685B">
        <w:trPr>
          <w:trHeight w:val="735"/>
          <w:jc w:val="center"/>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hideMark/>
          </w:tcPr>
          <w:p w14:paraId="6C4E9C5F"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r w:rsidRPr="009B58E8">
              <w:rPr>
                <w:rFonts w:ascii="Times New Roman" w:hAnsi="Times New Roman" w:cs="Times New Roman"/>
                <w:b w:val="0"/>
                <w:bCs w:val="0"/>
                <w:color w:val="000000" w:themeColor="text1"/>
                <w:sz w:val="24"/>
                <w:szCs w:val="24"/>
              </w:rPr>
              <w:t>Service Platform</w:t>
            </w:r>
          </w:p>
        </w:tc>
        <w:tc>
          <w:tcPr>
            <w:tcW w:w="1646" w:type="dxa"/>
            <w:shd w:val="clear" w:color="auto" w:fill="auto"/>
            <w:vAlign w:val="center"/>
            <w:hideMark/>
          </w:tcPr>
          <w:p w14:paraId="1ED1D443"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Service Platform</w:t>
            </w:r>
          </w:p>
        </w:tc>
        <w:tc>
          <w:tcPr>
            <w:tcW w:w="1917" w:type="dxa"/>
            <w:shd w:val="clear" w:color="auto" w:fill="auto"/>
            <w:vAlign w:val="center"/>
            <w:hideMark/>
          </w:tcPr>
          <w:p w14:paraId="72C8C99B"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Sending IoT information &amp; data</w:t>
            </w:r>
          </w:p>
        </w:tc>
        <w:tc>
          <w:tcPr>
            <w:tcW w:w="840" w:type="dxa"/>
            <w:shd w:val="clear" w:color="auto" w:fill="00B0F0"/>
            <w:hideMark/>
          </w:tcPr>
          <w:p w14:paraId="1BEB3326" w14:textId="77777777" w:rsidR="009B58E8" w:rsidRPr="009B58E8" w:rsidRDefault="009B58E8" w:rsidP="001F685B">
            <w:pPr>
              <w:snapToGri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29160BC1"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Application</w:t>
            </w:r>
          </w:p>
        </w:tc>
        <w:tc>
          <w:tcPr>
            <w:tcW w:w="1443" w:type="dxa"/>
            <w:shd w:val="clear" w:color="auto" w:fill="auto"/>
            <w:vAlign w:val="center"/>
            <w:hideMark/>
          </w:tcPr>
          <w:p w14:paraId="4DCDA183"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Application</w:t>
            </w:r>
          </w:p>
        </w:tc>
      </w:tr>
      <w:tr w:rsidR="009B58E8" w:rsidRPr="009B58E8" w14:paraId="7BD0EB80" w14:textId="77777777" w:rsidTr="001F685B">
        <w:trPr>
          <w:cnfStyle w:val="000000100000" w:firstRow="0" w:lastRow="0" w:firstColumn="0" w:lastColumn="0" w:oddVBand="0" w:evenVBand="0" w:oddHBand="1" w:evenHBand="0" w:firstRowFirstColumn="0" w:firstRowLastColumn="0" w:lastRowFirstColumn="0" w:lastRowLastColumn="0"/>
          <w:trHeight w:val="735"/>
          <w:jc w:val="center"/>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hideMark/>
          </w:tcPr>
          <w:p w14:paraId="4CBEAE2B"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r w:rsidRPr="009B58E8">
              <w:rPr>
                <w:rFonts w:ascii="Times New Roman" w:hAnsi="Times New Roman" w:cs="Times New Roman"/>
                <w:b w:val="0"/>
                <w:bCs w:val="0"/>
                <w:color w:val="000000" w:themeColor="text1"/>
                <w:sz w:val="24"/>
                <w:szCs w:val="24"/>
              </w:rPr>
              <w:t>App Developer</w:t>
            </w:r>
          </w:p>
        </w:tc>
        <w:tc>
          <w:tcPr>
            <w:tcW w:w="1646" w:type="dxa"/>
            <w:shd w:val="clear" w:color="auto" w:fill="auto"/>
            <w:vAlign w:val="center"/>
            <w:hideMark/>
          </w:tcPr>
          <w:p w14:paraId="4A2C8475"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Developing an application</w:t>
            </w:r>
          </w:p>
        </w:tc>
        <w:tc>
          <w:tcPr>
            <w:tcW w:w="1917" w:type="dxa"/>
            <w:shd w:val="clear" w:color="auto" w:fill="auto"/>
            <w:vAlign w:val="center"/>
            <w:hideMark/>
          </w:tcPr>
          <w:p w14:paraId="28E2585E"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Access Device Software Development Kit (SDK)</w:t>
            </w:r>
          </w:p>
        </w:tc>
        <w:tc>
          <w:tcPr>
            <w:tcW w:w="840" w:type="dxa"/>
            <w:shd w:val="clear" w:color="auto" w:fill="A6A6A6" w:themeFill="background1" w:themeFillShade="A6"/>
            <w:hideMark/>
          </w:tcPr>
          <w:p w14:paraId="0E64DC27" w14:textId="77777777" w:rsidR="009B58E8" w:rsidRPr="009B58E8" w:rsidRDefault="009B58E8" w:rsidP="001F685B">
            <w:pPr>
              <w:snapToGrid w:val="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4E5E7B04"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Service Platform</w:t>
            </w:r>
          </w:p>
        </w:tc>
        <w:tc>
          <w:tcPr>
            <w:tcW w:w="1443" w:type="dxa"/>
            <w:shd w:val="clear" w:color="auto" w:fill="auto"/>
            <w:vAlign w:val="center"/>
            <w:hideMark/>
          </w:tcPr>
          <w:p w14:paraId="19A220CC"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Service Platform</w:t>
            </w:r>
          </w:p>
        </w:tc>
      </w:tr>
      <w:tr w:rsidR="009B58E8" w:rsidRPr="009B58E8" w14:paraId="3C28EC8B" w14:textId="77777777" w:rsidTr="001F685B">
        <w:trPr>
          <w:trHeight w:val="159"/>
          <w:jc w:val="center"/>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hideMark/>
          </w:tcPr>
          <w:p w14:paraId="18E792F3"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r w:rsidRPr="009B58E8">
              <w:rPr>
                <w:rFonts w:ascii="Times New Roman" w:hAnsi="Times New Roman" w:cs="Times New Roman"/>
                <w:b w:val="0"/>
                <w:bCs w:val="0"/>
                <w:color w:val="000000" w:themeColor="text1"/>
                <w:sz w:val="24"/>
                <w:szCs w:val="24"/>
              </w:rPr>
              <w:t>App Developer</w:t>
            </w:r>
          </w:p>
        </w:tc>
        <w:tc>
          <w:tcPr>
            <w:tcW w:w="1646" w:type="dxa"/>
            <w:shd w:val="clear" w:color="auto" w:fill="auto"/>
            <w:vAlign w:val="center"/>
            <w:hideMark/>
          </w:tcPr>
          <w:p w14:paraId="06FD3B17"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Developing an application</w:t>
            </w:r>
          </w:p>
        </w:tc>
        <w:tc>
          <w:tcPr>
            <w:tcW w:w="1917" w:type="dxa"/>
            <w:shd w:val="clear" w:color="auto" w:fill="auto"/>
            <w:vAlign w:val="center"/>
            <w:hideMark/>
          </w:tcPr>
          <w:p w14:paraId="3BD0876B"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Development &amp; operation</w:t>
            </w:r>
          </w:p>
        </w:tc>
        <w:tc>
          <w:tcPr>
            <w:tcW w:w="840" w:type="dxa"/>
            <w:shd w:val="clear" w:color="auto" w:fill="A6A6A6" w:themeFill="background1" w:themeFillShade="A6"/>
            <w:hideMark/>
          </w:tcPr>
          <w:p w14:paraId="49E7F833" w14:textId="77777777" w:rsidR="009B58E8" w:rsidRPr="009B58E8" w:rsidRDefault="009B58E8" w:rsidP="001F685B">
            <w:pPr>
              <w:snapToGri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63299EAE"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Application</w:t>
            </w:r>
          </w:p>
        </w:tc>
        <w:tc>
          <w:tcPr>
            <w:tcW w:w="1443" w:type="dxa"/>
            <w:shd w:val="clear" w:color="auto" w:fill="auto"/>
            <w:vAlign w:val="center"/>
            <w:hideMark/>
          </w:tcPr>
          <w:p w14:paraId="4EB97777"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Application</w:t>
            </w:r>
          </w:p>
        </w:tc>
      </w:tr>
      <w:tr w:rsidR="009B58E8" w:rsidRPr="009B58E8" w14:paraId="04D8898D" w14:textId="77777777" w:rsidTr="001F685B">
        <w:trPr>
          <w:cnfStyle w:val="000000100000" w:firstRow="0" w:lastRow="0" w:firstColumn="0" w:lastColumn="0" w:oddVBand="0" w:evenVBand="0" w:oddHBand="1" w:evenHBand="0" w:firstRowFirstColumn="0" w:firstRowLastColumn="0" w:lastRowFirstColumn="0" w:lastRowLastColumn="0"/>
          <w:trHeight w:val="735"/>
          <w:jc w:val="center"/>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hideMark/>
          </w:tcPr>
          <w:p w14:paraId="090761F2"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r w:rsidRPr="009B58E8">
              <w:rPr>
                <w:rFonts w:ascii="Times New Roman" w:hAnsi="Times New Roman" w:cs="Times New Roman"/>
                <w:b w:val="0"/>
                <w:bCs w:val="0"/>
                <w:color w:val="000000" w:themeColor="text1"/>
                <w:sz w:val="24"/>
                <w:szCs w:val="24"/>
              </w:rPr>
              <w:t>App Developer</w:t>
            </w:r>
          </w:p>
        </w:tc>
        <w:tc>
          <w:tcPr>
            <w:tcW w:w="1646" w:type="dxa"/>
            <w:shd w:val="clear" w:color="auto" w:fill="auto"/>
            <w:vAlign w:val="center"/>
            <w:hideMark/>
          </w:tcPr>
          <w:p w14:paraId="7B454565"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Integrating systems</w:t>
            </w:r>
          </w:p>
        </w:tc>
        <w:tc>
          <w:tcPr>
            <w:tcW w:w="1917" w:type="dxa"/>
            <w:shd w:val="clear" w:color="auto" w:fill="auto"/>
            <w:vAlign w:val="center"/>
            <w:hideMark/>
          </w:tcPr>
          <w:p w14:paraId="2B8434A5"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Managing data integration and other systems</w:t>
            </w:r>
          </w:p>
        </w:tc>
        <w:tc>
          <w:tcPr>
            <w:tcW w:w="840" w:type="dxa"/>
            <w:shd w:val="clear" w:color="auto" w:fill="A6A6A6" w:themeFill="background1" w:themeFillShade="A6"/>
            <w:hideMark/>
          </w:tcPr>
          <w:p w14:paraId="09E468A6" w14:textId="77777777" w:rsidR="009B58E8" w:rsidRPr="009B58E8" w:rsidRDefault="009B58E8" w:rsidP="001F685B">
            <w:pPr>
              <w:snapToGrid w:val="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1A8F5F74"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IoT data management</w:t>
            </w:r>
          </w:p>
        </w:tc>
        <w:tc>
          <w:tcPr>
            <w:tcW w:w="1443" w:type="dxa"/>
            <w:shd w:val="clear" w:color="auto" w:fill="auto"/>
            <w:vAlign w:val="center"/>
            <w:hideMark/>
          </w:tcPr>
          <w:p w14:paraId="094DB2FF"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Service Platform</w:t>
            </w:r>
          </w:p>
        </w:tc>
      </w:tr>
      <w:tr w:rsidR="009B58E8" w:rsidRPr="009B58E8" w14:paraId="40051773" w14:textId="77777777" w:rsidTr="001F685B">
        <w:trPr>
          <w:trHeight w:val="735"/>
          <w:jc w:val="center"/>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hideMark/>
          </w:tcPr>
          <w:p w14:paraId="0221A072"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r w:rsidRPr="009B58E8">
              <w:rPr>
                <w:rFonts w:ascii="Times New Roman" w:hAnsi="Times New Roman" w:cs="Times New Roman"/>
                <w:b w:val="0"/>
                <w:bCs w:val="0"/>
                <w:color w:val="000000" w:themeColor="text1"/>
                <w:sz w:val="24"/>
                <w:szCs w:val="24"/>
              </w:rPr>
              <w:t>Application</w:t>
            </w:r>
          </w:p>
        </w:tc>
        <w:tc>
          <w:tcPr>
            <w:tcW w:w="1646" w:type="dxa"/>
            <w:shd w:val="clear" w:color="auto" w:fill="auto"/>
            <w:vAlign w:val="center"/>
            <w:hideMark/>
          </w:tcPr>
          <w:p w14:paraId="5F14EE0F"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Application</w:t>
            </w:r>
          </w:p>
        </w:tc>
        <w:tc>
          <w:tcPr>
            <w:tcW w:w="1917" w:type="dxa"/>
            <w:shd w:val="clear" w:color="auto" w:fill="auto"/>
            <w:vAlign w:val="center"/>
            <w:hideMark/>
          </w:tcPr>
          <w:p w14:paraId="40FD9B94"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Displaying fleet usage information</w:t>
            </w:r>
          </w:p>
        </w:tc>
        <w:tc>
          <w:tcPr>
            <w:tcW w:w="840" w:type="dxa"/>
            <w:shd w:val="clear" w:color="auto" w:fill="00B0F0"/>
            <w:hideMark/>
          </w:tcPr>
          <w:p w14:paraId="5C465D59" w14:textId="77777777" w:rsidR="009B58E8" w:rsidRPr="009B58E8" w:rsidRDefault="009B58E8" w:rsidP="001F685B">
            <w:pPr>
              <w:snapToGri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1277FE58" w14:textId="582A5B20"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Fleet Owner Company</w:t>
            </w:r>
          </w:p>
          <w:p w14:paraId="206535BC"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43" w:type="dxa"/>
            <w:shd w:val="clear" w:color="auto" w:fill="auto"/>
            <w:vAlign w:val="center"/>
            <w:hideMark/>
          </w:tcPr>
          <w:p w14:paraId="65CB36E0"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Customer</w:t>
            </w:r>
          </w:p>
        </w:tc>
      </w:tr>
      <w:tr w:rsidR="009B58E8" w:rsidRPr="009B58E8" w14:paraId="630D85C0" w14:textId="77777777" w:rsidTr="001F685B">
        <w:trPr>
          <w:cnfStyle w:val="000000100000" w:firstRow="0" w:lastRow="0" w:firstColumn="0" w:lastColumn="0" w:oddVBand="0" w:evenVBand="0" w:oddHBand="1" w:evenHBand="0" w:firstRowFirstColumn="0" w:firstRowLastColumn="0" w:lastRowFirstColumn="0" w:lastRowLastColumn="0"/>
          <w:trHeight w:val="735"/>
          <w:jc w:val="center"/>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hideMark/>
          </w:tcPr>
          <w:p w14:paraId="1E617C15"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r w:rsidRPr="009B58E8">
              <w:rPr>
                <w:rFonts w:ascii="Times New Roman" w:hAnsi="Times New Roman" w:cs="Times New Roman"/>
                <w:b w:val="0"/>
                <w:bCs w:val="0"/>
                <w:color w:val="000000" w:themeColor="text1"/>
                <w:sz w:val="24"/>
                <w:szCs w:val="24"/>
              </w:rPr>
              <w:lastRenderedPageBreak/>
              <w:t>Application</w:t>
            </w:r>
          </w:p>
        </w:tc>
        <w:tc>
          <w:tcPr>
            <w:tcW w:w="1646" w:type="dxa"/>
            <w:shd w:val="clear" w:color="auto" w:fill="auto"/>
            <w:vAlign w:val="center"/>
            <w:hideMark/>
          </w:tcPr>
          <w:p w14:paraId="1CE1FB49"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Application</w:t>
            </w:r>
          </w:p>
        </w:tc>
        <w:tc>
          <w:tcPr>
            <w:tcW w:w="1917" w:type="dxa"/>
            <w:shd w:val="clear" w:color="auto" w:fill="auto"/>
            <w:vAlign w:val="center"/>
            <w:hideMark/>
          </w:tcPr>
          <w:p w14:paraId="2471E834"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Displaying vehicle information.</w:t>
            </w:r>
          </w:p>
        </w:tc>
        <w:tc>
          <w:tcPr>
            <w:tcW w:w="840" w:type="dxa"/>
            <w:shd w:val="clear" w:color="auto" w:fill="00B0F0"/>
            <w:hideMark/>
          </w:tcPr>
          <w:p w14:paraId="40E5CDB6" w14:textId="77777777" w:rsidR="009B58E8" w:rsidRPr="009B58E8" w:rsidRDefault="009B58E8" w:rsidP="001F685B">
            <w:pPr>
              <w:snapToGrid w:val="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4B118925"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Public Users</w:t>
            </w:r>
          </w:p>
          <w:p w14:paraId="7AC73BF6"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43" w:type="dxa"/>
            <w:shd w:val="clear" w:color="auto" w:fill="auto"/>
            <w:vAlign w:val="center"/>
            <w:hideMark/>
          </w:tcPr>
          <w:p w14:paraId="48543F4F" w14:textId="77777777" w:rsidR="009B58E8" w:rsidRPr="009B58E8" w:rsidRDefault="009B58E8" w:rsidP="001F685B">
            <w:pPr>
              <w:snapToGri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Customer</w:t>
            </w:r>
          </w:p>
        </w:tc>
      </w:tr>
      <w:tr w:rsidR="009B58E8" w:rsidRPr="009B58E8" w14:paraId="2C45D36A" w14:textId="77777777" w:rsidTr="001F685B">
        <w:trPr>
          <w:trHeight w:val="735"/>
          <w:jc w:val="center"/>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vAlign w:val="center"/>
            <w:hideMark/>
          </w:tcPr>
          <w:p w14:paraId="18D0FE9A" w14:textId="77777777" w:rsidR="009B58E8" w:rsidRPr="009B58E8" w:rsidRDefault="009B58E8" w:rsidP="001F685B">
            <w:pPr>
              <w:snapToGrid w:val="0"/>
              <w:contextualSpacing/>
              <w:jc w:val="center"/>
              <w:rPr>
                <w:rFonts w:ascii="Times New Roman" w:hAnsi="Times New Roman" w:cs="Times New Roman"/>
                <w:b w:val="0"/>
                <w:bCs w:val="0"/>
                <w:color w:val="000000" w:themeColor="text1"/>
                <w:sz w:val="24"/>
                <w:szCs w:val="24"/>
              </w:rPr>
            </w:pPr>
            <w:r w:rsidRPr="009B58E8">
              <w:rPr>
                <w:rFonts w:ascii="Times New Roman" w:hAnsi="Times New Roman" w:cs="Times New Roman"/>
                <w:b w:val="0"/>
                <w:bCs w:val="0"/>
                <w:color w:val="000000" w:themeColor="text1"/>
                <w:sz w:val="24"/>
                <w:szCs w:val="24"/>
              </w:rPr>
              <w:t>Application</w:t>
            </w:r>
          </w:p>
        </w:tc>
        <w:tc>
          <w:tcPr>
            <w:tcW w:w="1646" w:type="dxa"/>
            <w:shd w:val="clear" w:color="auto" w:fill="auto"/>
            <w:vAlign w:val="center"/>
            <w:hideMark/>
          </w:tcPr>
          <w:p w14:paraId="24C42A58"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Application</w:t>
            </w:r>
          </w:p>
        </w:tc>
        <w:tc>
          <w:tcPr>
            <w:tcW w:w="1917" w:type="dxa"/>
            <w:shd w:val="clear" w:color="auto" w:fill="auto"/>
            <w:vAlign w:val="center"/>
            <w:hideMark/>
          </w:tcPr>
          <w:p w14:paraId="149947FD"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Displaying fleet usage information.</w:t>
            </w:r>
          </w:p>
        </w:tc>
        <w:tc>
          <w:tcPr>
            <w:tcW w:w="840" w:type="dxa"/>
            <w:shd w:val="clear" w:color="auto" w:fill="00B0F0"/>
            <w:hideMark/>
          </w:tcPr>
          <w:p w14:paraId="576B7C77" w14:textId="77777777" w:rsidR="009B58E8" w:rsidRPr="009B58E8" w:rsidRDefault="009B58E8" w:rsidP="001F685B">
            <w:pPr>
              <w:snapToGri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895" w:type="dxa"/>
            <w:shd w:val="clear" w:color="auto" w:fill="auto"/>
            <w:vAlign w:val="center"/>
            <w:hideMark/>
          </w:tcPr>
          <w:p w14:paraId="5192CCFA" w14:textId="6BF6B536"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Government Agency</w:t>
            </w:r>
          </w:p>
          <w:p w14:paraId="07CE744E"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43" w:type="dxa"/>
            <w:shd w:val="clear" w:color="auto" w:fill="auto"/>
            <w:vAlign w:val="center"/>
            <w:hideMark/>
          </w:tcPr>
          <w:p w14:paraId="165093E1" w14:textId="77777777" w:rsidR="009B58E8" w:rsidRPr="009B58E8" w:rsidRDefault="009B58E8" w:rsidP="001F685B">
            <w:pPr>
              <w:snapToGri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B58E8">
              <w:rPr>
                <w:rFonts w:ascii="Times New Roman" w:hAnsi="Times New Roman" w:cs="Times New Roman"/>
                <w:color w:val="000000" w:themeColor="text1"/>
                <w:sz w:val="24"/>
                <w:szCs w:val="24"/>
              </w:rPr>
              <w:t>Customer</w:t>
            </w:r>
          </w:p>
        </w:tc>
      </w:tr>
    </w:tbl>
    <w:p w14:paraId="7348D34E" w14:textId="0A891FE8" w:rsidR="009B58E8" w:rsidRPr="002A3CF4" w:rsidRDefault="009B58E8" w:rsidP="001F685B">
      <w:pPr>
        <w:snapToGrid w:val="0"/>
        <w:spacing w:before="120" w:after="120" w:line="240" w:lineRule="auto"/>
        <w:jc w:val="both"/>
        <w:rPr>
          <w:rFonts w:ascii="Times New Roman" w:eastAsia="Times New Roman" w:hAnsi="Times New Roman" w:cs="Times New Roman"/>
          <w:b/>
          <w:sz w:val="24"/>
        </w:rPr>
      </w:pPr>
      <w:r w:rsidRPr="002A3CF4">
        <w:rPr>
          <w:rFonts w:ascii="Times New Roman" w:hAnsi="Times New Roman" w:cs="Times New Roman"/>
          <w:b/>
          <w:sz w:val="24"/>
        </w:rPr>
        <w:t>Design of the IoT Business Transportation Ecosystem Architecture at Telkom Indonesia</w:t>
      </w:r>
    </w:p>
    <w:p w14:paraId="7F26246C" w14:textId="4999BDAE" w:rsidR="009B58E8" w:rsidRPr="009B58E8" w:rsidRDefault="009B58E8" w:rsidP="001F685B">
      <w:pPr>
        <w:tabs>
          <w:tab w:val="left" w:pos="709"/>
        </w:tabs>
        <w:snapToGrid w:val="0"/>
        <w:spacing w:before="120" w:after="120" w:line="240" w:lineRule="auto"/>
        <w:jc w:val="both"/>
        <w:rPr>
          <w:rFonts w:ascii="Times New Roman" w:hAnsi="Times New Roman" w:cs="Times New Roman"/>
          <w:bCs/>
          <w:color w:val="000000" w:themeColor="text1"/>
          <w:sz w:val="24"/>
          <w:szCs w:val="24"/>
        </w:rPr>
      </w:pPr>
      <w:r w:rsidRPr="009B58E8">
        <w:rPr>
          <w:rFonts w:ascii="Times New Roman" w:hAnsi="Times New Roman" w:cs="Times New Roman"/>
          <w:bCs/>
          <w:color w:val="000000" w:themeColor="text1"/>
          <w:sz w:val="24"/>
          <w:szCs w:val="24"/>
        </w:rPr>
        <w:t xml:space="preserve">The architectural design method for business ecosystems introduced by </w:t>
      </w:r>
      <w:r w:rsidRPr="009B58E8">
        <w:rPr>
          <w:rFonts w:ascii="Times New Roman" w:hAnsi="Times New Roman" w:cs="Times New Roman"/>
          <w:color w:val="000000" w:themeColor="text1"/>
          <w:sz w:val="24"/>
          <w:szCs w:val="24"/>
        </w:rPr>
        <w:fldChar w:fldCharType="begin" w:fldLock="1"/>
      </w:r>
      <w:r w:rsidRPr="009B58E8">
        <w:rPr>
          <w:rFonts w:ascii="Times New Roman" w:hAnsi="Times New Roman" w:cs="Times New Roman"/>
          <w:color w:val="000000" w:themeColor="text1"/>
          <w:sz w:val="24"/>
          <w:szCs w:val="24"/>
        </w:rPr>
        <w:instrText>ADDIN CSL_CITATION {"citationItems":[{"id":"ITEM-1","itemData":{"DOI":"10.1186/s42162-021-00142-y","ISSN":"25208942","abstract":"Due to the complexity of business ecosystems, the architecture of business ecosystems has not been well discussed in the literature, and modeling or simulation of business ecosystems has been rarely focused. Therefore, this paper proposes a business ecosystem ontology and introduces a methodology for business ecosystem architecture design. The proposed methodology includes five stages: 1) Boundary identification of a business ecosystem; 2) Identification of actors and their roles in the business ecosystem; 3) Identification of actors’ value propositions; 4) Identification of interaction between actors; 5) Verification of business ecosystem architecture design. This paper uses the Danish electricity system as an example to introduce the methodology, and use Electric Vehicle home charging as a case study to demonstrate the application of the developed methodology. The case study demonstrates that the proposed methodology is a systematic approach and can be easily applied to any ecosystem architecture design with the five stages, and the designed ecosystem architecture can represent the physical system and business. Several definitions are clarified in the paper, e.g., actor, role, interaction, ecosystem roadmap and expanded/shifted ecosystem, etc. With clear definitions, the proposed methodology provides a visualized, clear structure of behaviors and specifications for a given business ecosystem.","author":[{"dropping-particle":"","family":"Ma","given":"Zheng","non-dropping-particle":"","parse-names":false,"suffix":""},{"dropping-particle":"","family":"Christensen","given":"Kristoffer","non-dropping-particle":"","parse-names":false,"suffix":""},{"dropping-particle":"","family":"Jørgensen","given":"Bo Nørregaard","non-dropping-particle":"","parse-names":false,"suffix":""}],"container-title":"Energy Informatics","id":"ITEM-1","issue":"9","issued":{"date-parts":[["2021"]]},"page":"1-38","publisher":"Energy Informatics","title":"Business ecosystem architecture development: a case study of Electric Vehicle home charging","type":"article-journal","volume":"4"},"uris":["http://www.mendeley.com/documents/?uuid=3d5bf33f-5ae6-4125-9f3a-0f080d47edca"]}],"mendeley":{"formattedCitation":"(Ma et al., 2021)","manualFormatting":"Ma et al., (2021)","plainTextFormattedCitation":"(Ma et al., 2021)","previouslyFormattedCitation":"(Ma et al., 2021)"},"properties":{"noteIndex":0},"schema":"https://github.com/citation-style-language/schema/raw/master/csl-citation.json"}</w:instrText>
      </w:r>
      <w:r w:rsidRPr="009B58E8">
        <w:rPr>
          <w:rFonts w:ascii="Times New Roman" w:hAnsi="Times New Roman" w:cs="Times New Roman"/>
          <w:color w:val="000000" w:themeColor="text1"/>
          <w:sz w:val="24"/>
          <w:szCs w:val="24"/>
        </w:rPr>
        <w:fldChar w:fldCharType="separate"/>
      </w:r>
      <w:r w:rsidRPr="009B58E8">
        <w:rPr>
          <w:rFonts w:ascii="Times New Roman" w:hAnsi="Times New Roman" w:cs="Times New Roman"/>
          <w:noProof/>
          <w:color w:val="000000" w:themeColor="text1"/>
          <w:sz w:val="24"/>
          <w:szCs w:val="24"/>
        </w:rPr>
        <w:t>Ma et al., (2021)</w:t>
      </w:r>
      <w:r w:rsidRPr="009B58E8">
        <w:rPr>
          <w:rFonts w:ascii="Times New Roman" w:hAnsi="Times New Roman" w:cs="Times New Roman"/>
          <w:color w:val="000000" w:themeColor="text1"/>
          <w:sz w:val="24"/>
          <w:szCs w:val="24"/>
        </w:rPr>
        <w:fldChar w:fldCharType="end"/>
      </w:r>
      <w:r w:rsidRPr="009B58E8">
        <w:rPr>
          <w:rFonts w:ascii="Times New Roman" w:hAnsi="Times New Roman" w:cs="Times New Roman"/>
          <w:color w:val="000000" w:themeColor="text1"/>
          <w:sz w:val="24"/>
          <w:szCs w:val="24"/>
        </w:rPr>
        <w:t xml:space="preserve"> </w:t>
      </w:r>
      <w:r w:rsidRPr="009B58E8">
        <w:rPr>
          <w:rFonts w:ascii="Times New Roman" w:hAnsi="Times New Roman" w:cs="Times New Roman"/>
          <w:bCs/>
          <w:color w:val="000000" w:themeColor="text1"/>
          <w:sz w:val="24"/>
          <w:szCs w:val="24"/>
        </w:rPr>
        <w:t>is considered to effectively explain complex ecosystems such as the IoT business ecosystem in the transportation sector in this study, as shown in Figure 3. With 5 detailed and systematic stages of approach, it is very good for describing the ecosystem holistically.</w:t>
      </w:r>
    </w:p>
    <w:p w14:paraId="75504216" w14:textId="77777777" w:rsidR="009B58E8" w:rsidRPr="009B58E8" w:rsidRDefault="009B58E8" w:rsidP="001F685B">
      <w:pPr>
        <w:pStyle w:val="ListParagraph"/>
        <w:spacing w:after="0" w:line="240" w:lineRule="auto"/>
        <w:ind w:left="0"/>
        <w:contextualSpacing w:val="0"/>
        <w:jc w:val="center"/>
        <w:rPr>
          <w:rFonts w:ascii="Times New Roman" w:hAnsi="Times New Roman" w:cs="Times New Roman"/>
          <w:bCs/>
          <w:color w:val="000000" w:themeColor="text1"/>
          <w:sz w:val="24"/>
          <w:szCs w:val="24"/>
        </w:rPr>
      </w:pPr>
      <w:r w:rsidRPr="009B58E8">
        <w:rPr>
          <w:rFonts w:ascii="Times New Roman" w:hAnsi="Times New Roman" w:cs="Times New Roman"/>
          <w:bCs/>
          <w:noProof/>
          <w:color w:val="000000" w:themeColor="text1"/>
          <w:sz w:val="24"/>
          <w:szCs w:val="24"/>
        </w:rPr>
        <w:drawing>
          <wp:inline distT="0" distB="0" distL="0" distR="0" wp14:anchorId="2C3F900D" wp14:editId="1BD669ED">
            <wp:extent cx="5908813" cy="3983304"/>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69729" cy="4024369"/>
                    </a:xfrm>
                    <a:prstGeom prst="rect">
                      <a:avLst/>
                    </a:prstGeom>
                  </pic:spPr>
                </pic:pic>
              </a:graphicData>
            </a:graphic>
          </wp:inline>
        </w:drawing>
      </w:r>
    </w:p>
    <w:p w14:paraId="230433C4" w14:textId="77777777" w:rsidR="009B58E8" w:rsidRPr="001F685B" w:rsidRDefault="009B58E8" w:rsidP="001F685B">
      <w:pPr>
        <w:pStyle w:val="ListParagraph"/>
        <w:snapToGrid w:val="0"/>
        <w:spacing w:before="120" w:after="120" w:line="240" w:lineRule="auto"/>
        <w:ind w:left="0"/>
        <w:contextualSpacing w:val="0"/>
        <w:jc w:val="center"/>
        <w:rPr>
          <w:rFonts w:ascii="Times New Roman" w:hAnsi="Times New Roman" w:cs="Times New Roman"/>
          <w:bCs/>
          <w:color w:val="000000" w:themeColor="text1"/>
          <w:sz w:val="24"/>
          <w:szCs w:val="24"/>
        </w:rPr>
      </w:pPr>
      <w:r w:rsidRPr="001F685B">
        <w:rPr>
          <w:rFonts w:ascii="Times New Roman" w:hAnsi="Times New Roman" w:cs="Times New Roman"/>
          <w:color w:val="000000" w:themeColor="text1"/>
          <w:sz w:val="24"/>
          <w:szCs w:val="24"/>
        </w:rPr>
        <w:t xml:space="preserve">Figure 3. </w:t>
      </w:r>
      <w:r w:rsidRPr="001F685B">
        <w:rPr>
          <w:rFonts w:ascii="Times New Roman" w:hAnsi="Times New Roman" w:cs="Times New Roman"/>
          <w:bCs/>
          <w:color w:val="000000" w:themeColor="text1"/>
          <w:sz w:val="24"/>
          <w:szCs w:val="24"/>
        </w:rPr>
        <w:t>Mapping the IoT Transportation Business Ecosystem at Telkom Indonesia</w:t>
      </w:r>
    </w:p>
    <w:p w14:paraId="5DA9B2E6" w14:textId="77777777" w:rsidR="009B58E8" w:rsidRPr="001F685B" w:rsidRDefault="009B58E8" w:rsidP="001F685B">
      <w:pPr>
        <w:tabs>
          <w:tab w:val="left" w:pos="709"/>
        </w:tabs>
        <w:snapToGrid w:val="0"/>
        <w:spacing w:before="120" w:after="120" w:line="240" w:lineRule="auto"/>
        <w:jc w:val="both"/>
        <w:rPr>
          <w:rFonts w:ascii="Times New Roman" w:hAnsi="Times New Roman" w:cs="Times New Roman"/>
          <w:bCs/>
          <w:color w:val="000000" w:themeColor="text1"/>
          <w:sz w:val="24"/>
          <w:szCs w:val="24"/>
        </w:rPr>
      </w:pPr>
      <w:r w:rsidRPr="001F685B">
        <w:rPr>
          <w:rFonts w:ascii="Times New Roman" w:hAnsi="Times New Roman" w:cs="Times New Roman"/>
          <w:color w:val="000000" w:themeColor="text1"/>
          <w:sz w:val="24"/>
          <w:szCs w:val="24"/>
        </w:rPr>
        <w:t xml:space="preserve">The actors in the IoT transportation solutions ecosystem include a wide range of stakeholders, from the general public using public transportation services to governments and fleet-owning companies. The community can enjoy the convenience of facilities such as digital payments and real-time transportation tracking. On the other hand, the government and institutions like the Transportation Agency are utilizing big data services to enhance the quality of public transportation. Fleet companies, such as </w:t>
      </w:r>
      <w:proofErr w:type="spellStart"/>
      <w:r w:rsidRPr="001F685B">
        <w:rPr>
          <w:rFonts w:ascii="Times New Roman" w:hAnsi="Times New Roman" w:cs="Times New Roman"/>
          <w:color w:val="000000" w:themeColor="text1"/>
          <w:sz w:val="24"/>
          <w:szCs w:val="24"/>
        </w:rPr>
        <w:t>Transjakarta</w:t>
      </w:r>
      <w:proofErr w:type="spellEnd"/>
      <w:r w:rsidRPr="001F685B">
        <w:rPr>
          <w:rFonts w:ascii="Times New Roman" w:hAnsi="Times New Roman" w:cs="Times New Roman"/>
          <w:color w:val="000000" w:themeColor="text1"/>
          <w:sz w:val="24"/>
          <w:szCs w:val="24"/>
        </w:rPr>
        <w:t xml:space="preserve"> and </w:t>
      </w:r>
      <w:proofErr w:type="spellStart"/>
      <w:r w:rsidRPr="001F685B">
        <w:rPr>
          <w:rFonts w:ascii="Times New Roman" w:hAnsi="Times New Roman" w:cs="Times New Roman"/>
          <w:color w:val="000000" w:themeColor="text1"/>
          <w:sz w:val="24"/>
          <w:szCs w:val="24"/>
        </w:rPr>
        <w:t>Biofarma</w:t>
      </w:r>
      <w:proofErr w:type="spellEnd"/>
      <w:r w:rsidRPr="001F685B">
        <w:rPr>
          <w:rFonts w:ascii="Times New Roman" w:hAnsi="Times New Roman" w:cs="Times New Roman"/>
          <w:color w:val="000000" w:themeColor="text1"/>
          <w:sz w:val="24"/>
          <w:szCs w:val="24"/>
        </w:rPr>
        <w:t>, also utilize IoT solutions to optimize fleet operations and conduct tracking.</w:t>
      </w:r>
    </w:p>
    <w:p w14:paraId="52410296" w14:textId="77777777" w:rsidR="009B58E8" w:rsidRPr="001F685B" w:rsidRDefault="009B58E8" w:rsidP="001F685B">
      <w:pPr>
        <w:tabs>
          <w:tab w:val="left" w:pos="709"/>
        </w:tabs>
        <w:snapToGrid w:val="0"/>
        <w:spacing w:before="120" w:after="120" w:line="240" w:lineRule="auto"/>
        <w:jc w:val="both"/>
        <w:rPr>
          <w:rFonts w:ascii="Times New Roman" w:hAnsi="Times New Roman" w:cs="Times New Roman"/>
          <w:bCs/>
          <w:color w:val="000000" w:themeColor="text1"/>
          <w:sz w:val="24"/>
          <w:szCs w:val="24"/>
        </w:rPr>
      </w:pPr>
      <w:r w:rsidRPr="001F685B">
        <w:rPr>
          <w:rFonts w:ascii="Times New Roman" w:hAnsi="Times New Roman" w:cs="Times New Roman"/>
          <w:color w:val="000000" w:themeColor="text1"/>
          <w:sz w:val="24"/>
          <w:szCs w:val="24"/>
        </w:rPr>
        <w:t xml:space="preserve">The actor solution provider plays the role of a fleet management solution provider and system integrator, ensuring the efficient implementation of IoT systems. They are responsible for providing the latest IoT technology to enhance productivity and reduce operational costs. Telkom Tribe IoT functions as a system integrator and big data provider, assisting customers in achieving better fleet management goals. Actor device provider supplies the necessary </w:t>
      </w:r>
      <w:r w:rsidRPr="001F685B">
        <w:rPr>
          <w:rFonts w:ascii="Times New Roman" w:hAnsi="Times New Roman" w:cs="Times New Roman"/>
          <w:color w:val="000000" w:themeColor="text1"/>
          <w:sz w:val="24"/>
          <w:szCs w:val="24"/>
        </w:rPr>
        <w:lastRenderedPageBreak/>
        <w:t xml:space="preserve">hardware for IoT development, including integrated devices and Software Development Kit (SDK). Several entities, such as PINS Company and </w:t>
      </w:r>
      <w:proofErr w:type="spellStart"/>
      <w:r w:rsidRPr="001F685B">
        <w:rPr>
          <w:rFonts w:ascii="Times New Roman" w:hAnsi="Times New Roman" w:cs="Times New Roman"/>
          <w:color w:val="000000" w:themeColor="text1"/>
          <w:sz w:val="24"/>
          <w:szCs w:val="24"/>
        </w:rPr>
        <w:t>Teltonika</w:t>
      </w:r>
      <w:proofErr w:type="spellEnd"/>
      <w:r w:rsidRPr="001F685B">
        <w:rPr>
          <w:rFonts w:ascii="Times New Roman" w:hAnsi="Times New Roman" w:cs="Times New Roman"/>
          <w:color w:val="000000" w:themeColor="text1"/>
          <w:sz w:val="24"/>
          <w:szCs w:val="24"/>
        </w:rPr>
        <w:t>, are collaborating to ensure the availability of devices that meet the needs of IoT services. This collaboration involves the Antares platform as a service platform for end-to-end IoT solutions.</w:t>
      </w:r>
    </w:p>
    <w:p w14:paraId="230D16F3" w14:textId="77777777" w:rsidR="009B58E8" w:rsidRPr="001F685B" w:rsidRDefault="009B58E8" w:rsidP="001F685B">
      <w:pPr>
        <w:tabs>
          <w:tab w:val="left" w:pos="709"/>
        </w:tabs>
        <w:snapToGrid w:val="0"/>
        <w:spacing w:before="120" w:after="120" w:line="240" w:lineRule="auto"/>
        <w:jc w:val="both"/>
        <w:rPr>
          <w:rFonts w:ascii="Times New Roman" w:hAnsi="Times New Roman" w:cs="Times New Roman"/>
          <w:bCs/>
          <w:color w:val="000000" w:themeColor="text1"/>
          <w:sz w:val="24"/>
          <w:szCs w:val="24"/>
        </w:rPr>
      </w:pPr>
      <w:r w:rsidRPr="001F685B">
        <w:rPr>
          <w:rFonts w:ascii="Times New Roman" w:hAnsi="Times New Roman" w:cs="Times New Roman"/>
          <w:color w:val="000000" w:themeColor="text1"/>
          <w:sz w:val="24"/>
          <w:szCs w:val="24"/>
        </w:rPr>
        <w:t xml:space="preserve">The technical team supports the integration, maintenance, and installation of devices. This team is responsible for ensuring the reliability of hardware and software in the IoT development project in the transportation sector. They must collaborate with various parties, including device manufacturers and software developers, to create safe and efficient solutions. The actor network provider, consisting of </w:t>
      </w:r>
      <w:proofErr w:type="spellStart"/>
      <w:r w:rsidRPr="001F685B">
        <w:rPr>
          <w:rFonts w:ascii="Times New Roman" w:hAnsi="Times New Roman" w:cs="Times New Roman"/>
          <w:color w:val="000000" w:themeColor="text1"/>
          <w:sz w:val="24"/>
          <w:szCs w:val="24"/>
        </w:rPr>
        <w:t>Telkomsel</w:t>
      </w:r>
      <w:proofErr w:type="spellEnd"/>
      <w:r w:rsidRPr="001F685B">
        <w:rPr>
          <w:rFonts w:ascii="Times New Roman" w:hAnsi="Times New Roman" w:cs="Times New Roman"/>
          <w:color w:val="000000" w:themeColor="text1"/>
          <w:sz w:val="24"/>
          <w:szCs w:val="24"/>
        </w:rPr>
        <w:t xml:space="preserve"> and Telkom Indonesia, provides services and network infrastructure for data transmission between devices. They must ensure extensive network coverage and reliable quality, especially in areas with high mobility. An app developer acts to develop applications for customers, collaborating with internal and external teams to ensure the application functions well and can communicate effectively with IoT devices. </w:t>
      </w:r>
    </w:p>
    <w:p w14:paraId="483635AE" w14:textId="77777777" w:rsidR="009B58E8" w:rsidRPr="001F685B" w:rsidRDefault="009B58E8" w:rsidP="001F685B">
      <w:pPr>
        <w:tabs>
          <w:tab w:val="left" w:pos="709"/>
        </w:tabs>
        <w:snapToGrid w:val="0"/>
        <w:spacing w:before="120" w:after="120" w:line="240" w:lineRule="auto"/>
        <w:jc w:val="both"/>
        <w:rPr>
          <w:rFonts w:ascii="Times New Roman" w:hAnsi="Times New Roman" w:cs="Times New Roman"/>
          <w:color w:val="000000" w:themeColor="text1"/>
          <w:sz w:val="24"/>
          <w:szCs w:val="24"/>
        </w:rPr>
      </w:pPr>
      <w:r w:rsidRPr="001F685B">
        <w:rPr>
          <w:rFonts w:ascii="Times New Roman" w:hAnsi="Times New Roman" w:cs="Times New Roman"/>
          <w:color w:val="000000" w:themeColor="text1"/>
          <w:sz w:val="24"/>
          <w:szCs w:val="24"/>
        </w:rPr>
        <w:t xml:space="preserve">The service platform object functions to manage the components of the IoT ecosystem, including data from devices and sensors. Platforms like </w:t>
      </w:r>
      <w:proofErr w:type="spellStart"/>
      <w:r w:rsidRPr="001F685B">
        <w:rPr>
          <w:rFonts w:ascii="Times New Roman" w:hAnsi="Times New Roman" w:cs="Times New Roman"/>
          <w:color w:val="000000" w:themeColor="text1"/>
          <w:sz w:val="24"/>
          <w:szCs w:val="24"/>
        </w:rPr>
        <w:t>IndiCar</w:t>
      </w:r>
      <w:proofErr w:type="spellEnd"/>
      <w:r w:rsidRPr="001F685B">
        <w:rPr>
          <w:rFonts w:ascii="Times New Roman" w:hAnsi="Times New Roman" w:cs="Times New Roman"/>
          <w:color w:val="000000" w:themeColor="text1"/>
          <w:sz w:val="24"/>
          <w:szCs w:val="24"/>
        </w:rPr>
        <w:t xml:space="preserve"> and Antares play a crucial role in data management and application development. The application object serves as an interface for users to interact with the IoT system, such as fleet management applications and payment facilities. The vehicle object is a vehicle equipped with devices and sensors to collect IoT data. Sensor objects, such as GPS and accelerometers, are used to detect the location and changes in the vehicle's speed. </w:t>
      </w:r>
      <w:proofErr w:type="spellStart"/>
      <w:r w:rsidRPr="001F685B">
        <w:rPr>
          <w:rFonts w:ascii="Times New Roman" w:hAnsi="Times New Roman" w:cs="Times New Roman"/>
          <w:color w:val="000000" w:themeColor="text1"/>
          <w:sz w:val="24"/>
          <w:szCs w:val="24"/>
        </w:rPr>
        <w:t>Terakhis</w:t>
      </w:r>
      <w:proofErr w:type="spellEnd"/>
      <w:r w:rsidRPr="001F685B">
        <w:rPr>
          <w:rFonts w:ascii="Times New Roman" w:hAnsi="Times New Roman" w:cs="Times New Roman"/>
          <w:color w:val="000000" w:themeColor="text1"/>
          <w:sz w:val="24"/>
          <w:szCs w:val="24"/>
        </w:rPr>
        <w:t xml:space="preserve">, network module objects provide the necessary connectivity in transportation IoT solutions, such as </w:t>
      </w:r>
      <w:proofErr w:type="spellStart"/>
      <w:r w:rsidRPr="001F685B">
        <w:rPr>
          <w:rFonts w:ascii="Times New Roman" w:hAnsi="Times New Roman" w:cs="Times New Roman"/>
          <w:color w:val="000000" w:themeColor="text1"/>
          <w:sz w:val="24"/>
          <w:szCs w:val="24"/>
        </w:rPr>
        <w:t>WiFi</w:t>
      </w:r>
      <w:proofErr w:type="spellEnd"/>
      <w:r w:rsidRPr="001F685B">
        <w:rPr>
          <w:rFonts w:ascii="Times New Roman" w:hAnsi="Times New Roman" w:cs="Times New Roman"/>
          <w:color w:val="000000" w:themeColor="text1"/>
          <w:sz w:val="24"/>
          <w:szCs w:val="24"/>
        </w:rPr>
        <w:t>, Bluetooth, RFID, and LoRa. All these actors and objects interact with each other to create an efficient and integrated IoT solution ecosystem in the transportation sector.</w:t>
      </w:r>
    </w:p>
    <w:p w14:paraId="7FF7F293" w14:textId="77777777" w:rsidR="009B58E8" w:rsidRPr="001F685B" w:rsidRDefault="009B58E8" w:rsidP="001F685B">
      <w:pPr>
        <w:pBdr>
          <w:top w:val="nil"/>
          <w:left w:val="nil"/>
          <w:bottom w:val="nil"/>
          <w:right w:val="nil"/>
          <w:between w:val="nil"/>
        </w:pBdr>
        <w:tabs>
          <w:tab w:val="left" w:pos="288"/>
        </w:tabs>
        <w:snapToGrid w:val="0"/>
        <w:spacing w:before="120" w:after="120" w:line="240" w:lineRule="auto"/>
        <w:jc w:val="both"/>
        <w:rPr>
          <w:rFonts w:ascii="Times New Roman" w:eastAsia="Times New Roman" w:hAnsi="Times New Roman" w:cs="Times New Roman"/>
          <w:color w:val="000000" w:themeColor="text1"/>
          <w:sz w:val="24"/>
          <w:szCs w:val="24"/>
        </w:rPr>
      </w:pPr>
      <w:r w:rsidRPr="001F685B">
        <w:rPr>
          <w:rFonts w:ascii="Times New Roman" w:hAnsi="Times New Roman" w:cs="Times New Roman"/>
          <w:color w:val="000000" w:themeColor="text1"/>
          <w:sz w:val="24"/>
          <w:szCs w:val="24"/>
        </w:rPr>
        <w:t xml:space="preserve">This verification process ultimately reveals how the IoT transportation business ecosystem is built from various actors and objects that interact with each other to ensure that the ecosystem has been accurately designed to represent its physical and business systems. Then, in the next stages, potential changes that may occur in the future can be studied; this stage can be carried out by designing an ecosystem roadmap consisting of several transition stages to achieve the desired future IoT business ecosystem, referred to as the expanded/shifted ecosystem </w:t>
      </w:r>
      <w:r w:rsidRPr="001F685B">
        <w:rPr>
          <w:rFonts w:ascii="Times New Roman" w:hAnsi="Times New Roman" w:cs="Times New Roman"/>
          <w:color w:val="000000" w:themeColor="text1"/>
          <w:sz w:val="24"/>
          <w:szCs w:val="24"/>
        </w:rPr>
        <w:fldChar w:fldCharType="begin" w:fldLock="1"/>
      </w:r>
      <w:r w:rsidRPr="001F685B">
        <w:rPr>
          <w:rFonts w:ascii="Times New Roman" w:hAnsi="Times New Roman" w:cs="Times New Roman"/>
          <w:color w:val="000000" w:themeColor="text1"/>
          <w:sz w:val="24"/>
          <w:szCs w:val="24"/>
        </w:rPr>
        <w:instrText>ADDIN CSL_CITATION {"citationItems":[{"id":"ITEM-1","itemData":{"DOI":"10.1186/s42162-021-00142-y","ISSN":"25208942","abstract":"Due to the complexity of business ecosystems, the architecture of business ecosystems has not been well discussed in the literature, and modeling or simulation of business ecosystems has been rarely focused. Therefore, this paper proposes a business ecosystem ontology and introduces a methodology for business ecosystem architecture design. The proposed methodology includes five stages: 1) Boundary identification of a business ecosystem; 2) Identification of actors and their roles in the business ecosystem; 3) Identification of actors’ value propositions; 4) Identification of interaction between actors; 5) Verification of business ecosystem architecture design. This paper uses the Danish electricity system as an example to introduce the methodology, and use Electric Vehicle home charging as a case study to demonstrate the application of the developed methodology. The case study demonstrates that the proposed methodology is a systematic approach and can be easily applied to any ecosystem architecture design with the five stages, and the designed ecosystem architecture can represent the physical system and business. Several definitions are clarified in the paper, e.g., actor, role, interaction, ecosystem roadmap and expanded/shifted ecosystem, etc. With clear definitions, the proposed methodology provides a visualized, clear structure of behaviors and specifications for a given business ecosystem.","author":[{"dropping-particle":"","family":"Ma","given":"Zheng","non-dropping-particle":"","parse-names":false,"suffix":""},{"dropping-particle":"","family":"Christensen","given":"Kristoffer","non-dropping-particle":"","parse-names":false,"suffix":""},{"dropping-particle":"","family":"Jørgensen","given":"Bo Nørregaard","non-dropping-particle":"","parse-names":false,"suffix":""}],"container-title":"Energy Informatics","id":"ITEM-1","issue":"9","issued":{"date-parts":[["2021"]]},"page":"1-38","publisher":"Energy Informatics","title":"Business ecosystem architecture development: a case study of Electric Vehicle home charging","type":"article-journal","volume":"4"},"uris":["http://www.mendeley.com/documents/?uuid=3d5bf33f-5ae6-4125-9f3a-0f080d47edca"]}],"mendeley":{"formattedCitation":"(Ma et al., 2021)","plainTextFormattedCitation":"(Ma et al., 2021)","previouslyFormattedCitation":"(Ma et al., 2021)"},"properties":{"noteIndex":0},"schema":"https://github.com/citation-style-language/schema/raw/master/csl-citation.json"}</w:instrText>
      </w:r>
      <w:r w:rsidRPr="001F685B">
        <w:rPr>
          <w:rFonts w:ascii="Times New Roman" w:hAnsi="Times New Roman" w:cs="Times New Roman"/>
          <w:color w:val="000000" w:themeColor="text1"/>
          <w:sz w:val="24"/>
          <w:szCs w:val="24"/>
        </w:rPr>
        <w:fldChar w:fldCharType="separate"/>
      </w:r>
      <w:r w:rsidRPr="001F685B">
        <w:rPr>
          <w:rFonts w:ascii="Times New Roman" w:hAnsi="Times New Roman" w:cs="Times New Roman"/>
          <w:noProof/>
          <w:color w:val="000000" w:themeColor="text1"/>
          <w:sz w:val="24"/>
          <w:szCs w:val="24"/>
        </w:rPr>
        <w:t>(Ma et al., 2021)</w:t>
      </w:r>
      <w:r w:rsidRPr="001F685B">
        <w:rPr>
          <w:rFonts w:ascii="Times New Roman" w:hAnsi="Times New Roman" w:cs="Times New Roman"/>
          <w:color w:val="000000" w:themeColor="text1"/>
          <w:sz w:val="24"/>
          <w:szCs w:val="24"/>
        </w:rPr>
        <w:fldChar w:fldCharType="end"/>
      </w:r>
      <w:r w:rsidRPr="001F685B">
        <w:rPr>
          <w:rFonts w:ascii="Times New Roman" w:hAnsi="Times New Roman" w:cs="Times New Roman"/>
          <w:color w:val="000000" w:themeColor="text1"/>
          <w:sz w:val="24"/>
          <w:szCs w:val="24"/>
        </w:rPr>
        <w:t>.</w:t>
      </w:r>
    </w:p>
    <w:p w14:paraId="6621F486" w14:textId="77777777" w:rsidR="009B58E8" w:rsidRPr="001F685B" w:rsidRDefault="009B58E8" w:rsidP="001F685B">
      <w:pPr>
        <w:pBdr>
          <w:top w:val="nil"/>
          <w:left w:val="nil"/>
          <w:bottom w:val="nil"/>
          <w:right w:val="nil"/>
          <w:between w:val="nil"/>
        </w:pBdr>
        <w:tabs>
          <w:tab w:val="left" w:pos="288"/>
        </w:tabs>
        <w:snapToGrid w:val="0"/>
        <w:spacing w:before="120" w:after="120" w:line="240" w:lineRule="auto"/>
        <w:jc w:val="both"/>
        <w:rPr>
          <w:rFonts w:ascii="Times New Roman" w:eastAsia="Times New Roman" w:hAnsi="Times New Roman" w:cs="Times New Roman"/>
          <w:color w:val="000000" w:themeColor="text1"/>
          <w:sz w:val="24"/>
          <w:szCs w:val="24"/>
        </w:rPr>
      </w:pPr>
      <w:r w:rsidRPr="001F685B">
        <w:rPr>
          <w:rFonts w:ascii="Times New Roman" w:eastAsia="Times New Roman" w:hAnsi="Times New Roman" w:cs="Times New Roman"/>
          <w:color w:val="000000" w:themeColor="text1"/>
          <w:sz w:val="24"/>
          <w:szCs w:val="24"/>
        </w:rPr>
        <w:t xml:space="preserve">Through collaboration among actors, not only does it facilitate the implementation of IoT technology, but it also plays a role in optimizing transportation operations, enhancing user experience, and reducing environmental impact by introducing more efficient and sustainable solutions. Detailed interaction among elements involving actors with the aim of modeling a consistent ecosystem </w:t>
      </w:r>
      <w:r w:rsidRPr="001F685B">
        <w:rPr>
          <w:rFonts w:ascii="Times New Roman" w:hAnsi="Times New Roman" w:cs="Times New Roman"/>
          <w:color w:val="000000" w:themeColor="text1"/>
          <w:sz w:val="24"/>
          <w:szCs w:val="24"/>
        </w:rPr>
        <w:fldChar w:fldCharType="begin" w:fldLock="1"/>
      </w:r>
      <w:r w:rsidRPr="001F685B">
        <w:rPr>
          <w:rFonts w:ascii="Times New Roman" w:hAnsi="Times New Roman" w:cs="Times New Roman"/>
          <w:color w:val="000000" w:themeColor="text1"/>
          <w:sz w:val="24"/>
          <w:szCs w:val="24"/>
        </w:rPr>
        <w:instrText>ADDIN CSL_CITATION {"citationItems":[{"id":"ITEM-1","itemData":{"author":[{"dropping-particle":"","family":"Wortmann","given":"Fabio","non-dropping-particle":"","parse-names":false,"suffix":""},{"dropping-particle":"","family":"Kämmerling","given":"Sina","non-dropping-particle":"","parse-names":false,"suffix":""},{"dropping-particle":"","family":"Ellermann","given":"Kai","non-dropping-particle":"","parse-names":false,"suffix":""},{"dropping-particle":"","family":"Kühn","given":"Arno","non-dropping-particle":"","parse-names":false,"suffix":""},{"dropping-particle":"","family":"Plass","given":"Christoph","non-dropping-particle":"","parse-names":false,"suffix":""},{"dropping-particle":"","family":"Dumitrescu","given":"Roman","non-dropping-particle":"","parse-names":false,"suffix":""}],"container-title":"Stuttgart Symposium for Product Development 2021","id":"ITEM-1","issued":{"date-parts":[["2021"]]},"page":"1-12","title":"Development and evaluation of IoT-based platform business models in business-to-business","type":"paper-conference"},"uris":["http://www.mendeley.com/documents/?uuid=ca774bbb-fc67-41c3-bc7d-097918d83db3"]}],"mendeley":{"formattedCitation":"(Wortmann et al., 2021)","plainTextFormattedCitation":"(Wortmann et al., 2021)","previouslyFormattedCitation":"(Wortmann et al., 2021)"},"properties":{"noteIndex":0},"schema":"https://github.com/citation-style-language/schema/raw/master/csl-citation.json"}</w:instrText>
      </w:r>
      <w:r w:rsidRPr="001F685B">
        <w:rPr>
          <w:rFonts w:ascii="Times New Roman" w:hAnsi="Times New Roman" w:cs="Times New Roman"/>
          <w:color w:val="000000" w:themeColor="text1"/>
          <w:sz w:val="24"/>
          <w:szCs w:val="24"/>
        </w:rPr>
        <w:fldChar w:fldCharType="separate"/>
      </w:r>
      <w:r w:rsidRPr="001F685B">
        <w:rPr>
          <w:rFonts w:ascii="Times New Roman" w:hAnsi="Times New Roman" w:cs="Times New Roman"/>
          <w:noProof/>
          <w:color w:val="000000" w:themeColor="text1"/>
          <w:sz w:val="24"/>
          <w:szCs w:val="24"/>
        </w:rPr>
        <w:t>(Wortmann et al., 2021)</w:t>
      </w:r>
      <w:r w:rsidRPr="001F685B">
        <w:rPr>
          <w:rFonts w:ascii="Times New Roman" w:hAnsi="Times New Roman" w:cs="Times New Roman"/>
          <w:color w:val="000000" w:themeColor="text1"/>
          <w:sz w:val="24"/>
          <w:szCs w:val="24"/>
        </w:rPr>
        <w:fldChar w:fldCharType="end"/>
      </w:r>
      <w:r w:rsidRPr="001F685B">
        <w:rPr>
          <w:rFonts w:ascii="Times New Roman" w:hAnsi="Times New Roman" w:cs="Times New Roman"/>
          <w:color w:val="000000" w:themeColor="text1"/>
          <w:sz w:val="24"/>
          <w:szCs w:val="24"/>
        </w:rPr>
        <w:t xml:space="preserve">. </w:t>
      </w:r>
      <w:r w:rsidRPr="001F685B">
        <w:rPr>
          <w:rFonts w:ascii="Times New Roman" w:eastAsia="Times New Roman" w:hAnsi="Times New Roman" w:cs="Times New Roman"/>
          <w:color w:val="000000" w:themeColor="text1"/>
          <w:sz w:val="24"/>
          <w:szCs w:val="24"/>
        </w:rPr>
        <w:t>In the case of Telkom Indonesia, it not only plays a crucial role in the IoT business ecosystem within the transportation sector but also acts as a catalyst in realizing digital transformation in the transportation industry in Indonesia. Telkom Indonesia itself acts as a solution provider that supplies the telecommunications infrastructure underlying IoT solutions in the transportation sector. Additionally, Telkom Indonesia also serves as an aggregator, playing a role in integrating various IoT solutions from different service and technology providers. In this regard, collaboration with other actors to support integrated IoT solutions presents an opportunity to enhance this IoT business ecosystem.</w:t>
      </w:r>
    </w:p>
    <w:p w14:paraId="11CEC043" w14:textId="61D98933" w:rsidR="00731632" w:rsidRPr="001F685B" w:rsidRDefault="009B58E8" w:rsidP="001F685B">
      <w:pPr>
        <w:pBdr>
          <w:top w:val="nil"/>
          <w:left w:val="nil"/>
          <w:bottom w:val="nil"/>
          <w:right w:val="nil"/>
          <w:between w:val="nil"/>
        </w:pBdr>
        <w:tabs>
          <w:tab w:val="left" w:pos="288"/>
        </w:tabs>
        <w:snapToGrid w:val="0"/>
        <w:spacing w:before="120" w:after="120" w:line="240" w:lineRule="auto"/>
        <w:jc w:val="both"/>
        <w:rPr>
          <w:rFonts w:ascii="Times New Roman" w:eastAsia="Times New Roman" w:hAnsi="Times New Roman" w:cs="Times New Roman"/>
          <w:color w:val="000000" w:themeColor="text1"/>
          <w:sz w:val="24"/>
          <w:szCs w:val="24"/>
        </w:rPr>
      </w:pPr>
      <w:r w:rsidRPr="001F685B">
        <w:rPr>
          <w:rFonts w:ascii="Times New Roman" w:hAnsi="Times New Roman" w:cs="Times New Roman"/>
          <w:color w:val="000000" w:themeColor="text1"/>
          <w:sz w:val="24"/>
          <w:szCs w:val="24"/>
        </w:rPr>
        <w:t xml:space="preserve">The IoT transportation business ecosystem of Telkom Indonesia includes key players such as service providers, device suppliers, application developers, and customers. The importance of explaining the role of each actor in a business ecosystem is used to respond to every change and competitive rivalry </w:t>
      </w:r>
      <w:r w:rsidRPr="001F685B">
        <w:rPr>
          <w:rFonts w:ascii="Times New Roman" w:hAnsi="Times New Roman" w:cs="Times New Roman"/>
          <w:color w:val="000000" w:themeColor="text1"/>
          <w:sz w:val="24"/>
          <w:szCs w:val="24"/>
        </w:rPr>
        <w:fldChar w:fldCharType="begin" w:fldLock="1"/>
      </w:r>
      <w:r w:rsidRPr="001F685B">
        <w:rPr>
          <w:rFonts w:ascii="Times New Roman" w:hAnsi="Times New Roman" w:cs="Times New Roman"/>
          <w:color w:val="000000" w:themeColor="text1"/>
          <w:sz w:val="24"/>
          <w:szCs w:val="24"/>
        </w:rPr>
        <w:instrText>ADDIN CSL_CITATION {"citationItems":[{"id":"ITEM-1","itemData":{"DOI":"10.1002/bse.3168","author":[{"dropping-particle":"","family":"Almeida","given":"Gabriela","non-dropping-particle":"","parse-names":false,"suffix":""},{"dropping-particle":"","family":"Nora","given":"Marcon","non-dropping-particle":"","parse-names":false,"suffix":""}],"container-title":"Business Strategy and the Environment","id":"ITEM-1","issued":{"date-parts":[["2022"]]},"page":"1-13","title":"Stakeholder theory and actor-network theory: The stakeholder engagement in energy transitions","type":"article-journal"},"uris":["http://www.mendeley.com/documents/?uuid=aa1b1d06-749e-4c51-a718-53fb1f4c92d3"]}],"mendeley":{"formattedCitation":"(Almeida &amp; Nora, 2022)","plainTextFormattedCitation":"(Almeida &amp; Nora, 2022)","previouslyFormattedCitation":"(Almeida &amp; Nora, 2022)"},"properties":{"noteIndex":0},"schema":"https://github.com/citation-style-language/schema/raw/master/csl-citation.json"}</w:instrText>
      </w:r>
      <w:r w:rsidRPr="001F685B">
        <w:rPr>
          <w:rFonts w:ascii="Times New Roman" w:hAnsi="Times New Roman" w:cs="Times New Roman"/>
          <w:color w:val="000000" w:themeColor="text1"/>
          <w:sz w:val="24"/>
          <w:szCs w:val="24"/>
        </w:rPr>
        <w:fldChar w:fldCharType="separate"/>
      </w:r>
      <w:r w:rsidRPr="001F685B">
        <w:rPr>
          <w:rFonts w:ascii="Times New Roman" w:hAnsi="Times New Roman" w:cs="Times New Roman"/>
          <w:noProof/>
          <w:color w:val="000000" w:themeColor="text1"/>
          <w:sz w:val="24"/>
          <w:szCs w:val="24"/>
        </w:rPr>
        <w:t>(Almeida &amp; Nora, 2022)</w:t>
      </w:r>
      <w:r w:rsidRPr="001F685B">
        <w:rPr>
          <w:rFonts w:ascii="Times New Roman" w:hAnsi="Times New Roman" w:cs="Times New Roman"/>
          <w:color w:val="000000" w:themeColor="text1"/>
          <w:sz w:val="24"/>
          <w:szCs w:val="24"/>
        </w:rPr>
        <w:fldChar w:fldCharType="end"/>
      </w:r>
      <w:r w:rsidRPr="001F685B">
        <w:rPr>
          <w:rFonts w:ascii="Times New Roman" w:hAnsi="Times New Roman" w:cs="Times New Roman"/>
          <w:color w:val="000000" w:themeColor="text1"/>
          <w:sz w:val="24"/>
          <w:szCs w:val="24"/>
        </w:rPr>
        <w:t xml:space="preserve">. </w:t>
      </w:r>
      <w:r w:rsidRPr="001F685B">
        <w:rPr>
          <w:rFonts w:ascii="Times New Roman" w:eastAsia="Times New Roman" w:hAnsi="Times New Roman" w:cs="Times New Roman"/>
          <w:color w:val="000000" w:themeColor="text1"/>
          <w:sz w:val="24"/>
          <w:szCs w:val="24"/>
        </w:rPr>
        <w:t xml:space="preserve">The development of the IoT business ecosystem in the transportation sector at Telkom Indonesia is carried out to establish a value </w:t>
      </w:r>
      <w:r w:rsidRPr="001F685B">
        <w:rPr>
          <w:rFonts w:ascii="Times New Roman" w:eastAsia="Times New Roman" w:hAnsi="Times New Roman" w:cs="Times New Roman"/>
          <w:color w:val="000000" w:themeColor="text1"/>
          <w:sz w:val="24"/>
          <w:szCs w:val="24"/>
        </w:rPr>
        <w:lastRenderedPageBreak/>
        <w:t>delivery framework for each element among actors that captures the business structure, along with its relationships with suppliers, partners, and consumers.  Furthermore, the efforts made also illustrate how the IoT business ecosystem in the transportation sector at Telkom Indonesia reflects both tangible and intangible resources that offer products and services in a competitive manner.</w:t>
      </w:r>
    </w:p>
    <w:p w14:paraId="5FB2BB9A" w14:textId="527DD9D6" w:rsidR="00A10522" w:rsidRPr="001F685B" w:rsidRDefault="00A10522" w:rsidP="001F685B">
      <w:pPr>
        <w:snapToGrid w:val="0"/>
        <w:spacing w:before="120" w:after="120" w:line="240" w:lineRule="auto"/>
        <w:jc w:val="both"/>
        <w:rPr>
          <w:rFonts w:ascii="Times New Roman" w:eastAsia="Times New Roman" w:hAnsi="Times New Roman" w:cs="Times New Roman"/>
          <w:b/>
          <w:sz w:val="24"/>
          <w:szCs w:val="24"/>
          <w:shd w:val="clear" w:color="auto" w:fill="FFFFFF"/>
        </w:rPr>
      </w:pPr>
      <w:r w:rsidRPr="001F685B">
        <w:rPr>
          <w:rFonts w:ascii="Times New Roman" w:eastAsia="Times New Roman" w:hAnsi="Times New Roman" w:cs="Times New Roman"/>
          <w:b/>
          <w:sz w:val="24"/>
          <w:szCs w:val="24"/>
          <w:shd w:val="clear" w:color="auto" w:fill="FFFFFF"/>
          <w:lang w:val="id-ID"/>
        </w:rPr>
        <w:t xml:space="preserve">Conclusion </w:t>
      </w:r>
    </w:p>
    <w:p w14:paraId="33DBAA3D" w14:textId="19ADF147" w:rsidR="00E47DA6" w:rsidRPr="001F685B" w:rsidRDefault="00BC4334" w:rsidP="001F685B">
      <w:pPr>
        <w:snapToGrid w:val="0"/>
        <w:spacing w:before="120" w:after="120" w:line="240" w:lineRule="auto"/>
        <w:jc w:val="both"/>
        <w:rPr>
          <w:rFonts w:ascii="Times New Roman" w:eastAsia="Times New Roman" w:hAnsi="Times New Roman" w:cs="Times New Roman"/>
          <w:sz w:val="24"/>
          <w:szCs w:val="24"/>
          <w:shd w:val="clear" w:color="auto" w:fill="FFFFFF"/>
          <w:lang w:val="id-ID"/>
        </w:rPr>
      </w:pPr>
      <w:r w:rsidRPr="001F685B">
        <w:rPr>
          <w:rFonts w:ascii="Times New Roman" w:eastAsia="Times New Roman" w:hAnsi="Times New Roman" w:cs="Times New Roman"/>
          <w:sz w:val="24"/>
          <w:szCs w:val="24"/>
          <w:shd w:val="clear" w:color="auto" w:fill="FFFFFF"/>
          <w:lang w:val="id-ID"/>
        </w:rPr>
        <w:t xml:space="preserve">The Internet of Things (IoT)-based transportation business ecosystem at Telkom Indonesia involves various actors and objects that work together to provide added value to customers and stakeholders. Collaboration and co-creation are the main strategies in building this ecosystem, where each actor is involved in providing human resources (HR), infrastructure, devices, and collaboration with the government in formulating transportation policies. The actors in this ecosystem consist of various entities that are active in the development, implementation, and utilization of IoT technology, with the aim of improving the efficiency and </w:t>
      </w:r>
      <w:proofErr w:type="spellStart"/>
      <w:r w:rsidRPr="001F685B">
        <w:rPr>
          <w:rFonts w:ascii="Times New Roman" w:eastAsia="Times New Roman" w:hAnsi="Times New Roman" w:cs="Times New Roman"/>
          <w:sz w:val="24"/>
          <w:szCs w:val="24"/>
          <w:shd w:val="clear" w:color="auto" w:fill="FFFFFF"/>
          <w:lang w:val="id-ID"/>
        </w:rPr>
        <w:t>quality</w:t>
      </w:r>
      <w:proofErr w:type="spellEnd"/>
      <w:r w:rsidRPr="001F685B">
        <w:rPr>
          <w:rFonts w:ascii="Times New Roman" w:eastAsia="Times New Roman" w:hAnsi="Times New Roman" w:cs="Times New Roman"/>
          <w:sz w:val="24"/>
          <w:szCs w:val="24"/>
          <w:shd w:val="clear" w:color="auto" w:fill="FFFFFF"/>
          <w:lang w:val="id-ID"/>
        </w:rPr>
        <w:t xml:space="preserve"> </w:t>
      </w:r>
      <w:proofErr w:type="spellStart"/>
      <w:r w:rsidRPr="001F685B">
        <w:rPr>
          <w:rFonts w:ascii="Times New Roman" w:eastAsia="Times New Roman" w:hAnsi="Times New Roman" w:cs="Times New Roman"/>
          <w:sz w:val="24"/>
          <w:szCs w:val="24"/>
          <w:shd w:val="clear" w:color="auto" w:fill="FFFFFF"/>
          <w:lang w:val="id-ID"/>
        </w:rPr>
        <w:t>of</w:t>
      </w:r>
      <w:proofErr w:type="spellEnd"/>
      <w:r w:rsidRPr="001F685B">
        <w:rPr>
          <w:rFonts w:ascii="Times New Roman" w:eastAsia="Times New Roman" w:hAnsi="Times New Roman" w:cs="Times New Roman"/>
          <w:sz w:val="24"/>
          <w:szCs w:val="24"/>
          <w:shd w:val="clear" w:color="auto" w:fill="FFFFFF"/>
          <w:lang w:val="id-ID"/>
        </w:rPr>
        <w:t xml:space="preserve"> </w:t>
      </w:r>
      <w:proofErr w:type="spellStart"/>
      <w:r w:rsidRPr="001F685B">
        <w:rPr>
          <w:rFonts w:ascii="Times New Roman" w:eastAsia="Times New Roman" w:hAnsi="Times New Roman" w:cs="Times New Roman"/>
          <w:sz w:val="24"/>
          <w:szCs w:val="24"/>
          <w:shd w:val="clear" w:color="auto" w:fill="FFFFFF"/>
          <w:lang w:val="id-ID"/>
        </w:rPr>
        <w:t>transportation</w:t>
      </w:r>
      <w:proofErr w:type="spellEnd"/>
      <w:r w:rsidRPr="001F685B">
        <w:rPr>
          <w:rFonts w:ascii="Times New Roman" w:eastAsia="Times New Roman" w:hAnsi="Times New Roman" w:cs="Times New Roman"/>
          <w:sz w:val="24"/>
          <w:szCs w:val="24"/>
          <w:shd w:val="clear" w:color="auto" w:fill="FFFFFF"/>
          <w:lang w:val="id-ID"/>
        </w:rPr>
        <w:t xml:space="preserve"> </w:t>
      </w:r>
      <w:proofErr w:type="spellStart"/>
      <w:r w:rsidRPr="001F685B">
        <w:rPr>
          <w:rFonts w:ascii="Times New Roman" w:eastAsia="Times New Roman" w:hAnsi="Times New Roman" w:cs="Times New Roman"/>
          <w:sz w:val="24"/>
          <w:szCs w:val="24"/>
          <w:shd w:val="clear" w:color="auto" w:fill="FFFFFF"/>
          <w:lang w:val="id-ID"/>
        </w:rPr>
        <w:t>services</w:t>
      </w:r>
      <w:proofErr w:type="spellEnd"/>
      <w:r w:rsidRPr="001F685B">
        <w:rPr>
          <w:rFonts w:ascii="Times New Roman" w:eastAsia="Times New Roman" w:hAnsi="Times New Roman" w:cs="Times New Roman"/>
          <w:sz w:val="24"/>
          <w:szCs w:val="24"/>
          <w:shd w:val="clear" w:color="auto" w:fill="FFFFFF"/>
          <w:lang w:val="id-ID"/>
        </w:rPr>
        <w:t xml:space="preserve"> </w:t>
      </w:r>
      <w:proofErr w:type="spellStart"/>
      <w:r w:rsidRPr="001F685B">
        <w:rPr>
          <w:rFonts w:ascii="Times New Roman" w:eastAsia="Times New Roman" w:hAnsi="Times New Roman" w:cs="Times New Roman"/>
          <w:sz w:val="24"/>
          <w:szCs w:val="24"/>
          <w:shd w:val="clear" w:color="auto" w:fill="FFFFFF"/>
          <w:lang w:val="id-ID"/>
        </w:rPr>
        <w:t>through</w:t>
      </w:r>
      <w:proofErr w:type="spellEnd"/>
      <w:r w:rsidRPr="001F685B">
        <w:rPr>
          <w:rFonts w:ascii="Times New Roman" w:eastAsia="Times New Roman" w:hAnsi="Times New Roman" w:cs="Times New Roman"/>
          <w:sz w:val="24"/>
          <w:szCs w:val="24"/>
          <w:shd w:val="clear" w:color="auto" w:fill="FFFFFF"/>
          <w:lang w:val="id-ID"/>
        </w:rPr>
        <w:t xml:space="preserve"> digital </w:t>
      </w:r>
      <w:proofErr w:type="spellStart"/>
      <w:r w:rsidRPr="001F685B">
        <w:rPr>
          <w:rFonts w:ascii="Times New Roman" w:eastAsia="Times New Roman" w:hAnsi="Times New Roman" w:cs="Times New Roman"/>
          <w:sz w:val="24"/>
          <w:szCs w:val="24"/>
          <w:shd w:val="clear" w:color="auto" w:fill="FFFFFF"/>
          <w:lang w:val="id-ID"/>
        </w:rPr>
        <w:t>transformation</w:t>
      </w:r>
      <w:proofErr w:type="spellEnd"/>
      <w:r w:rsidRPr="001F685B">
        <w:rPr>
          <w:rFonts w:ascii="Times New Roman" w:eastAsia="Times New Roman" w:hAnsi="Times New Roman" w:cs="Times New Roman"/>
          <w:sz w:val="24"/>
          <w:szCs w:val="24"/>
          <w:shd w:val="clear" w:color="auto" w:fill="FFFFFF"/>
          <w:lang w:val="id-ID"/>
        </w:rPr>
        <w:t>.</w:t>
      </w:r>
      <w:r w:rsidR="001F685B">
        <w:rPr>
          <w:rFonts w:ascii="Times New Roman" w:eastAsia="Times New Roman" w:hAnsi="Times New Roman" w:cs="Times New Roman"/>
          <w:sz w:val="24"/>
          <w:szCs w:val="24"/>
          <w:shd w:val="clear" w:color="auto" w:fill="FFFFFF"/>
        </w:rPr>
        <w:t xml:space="preserve"> </w:t>
      </w:r>
      <w:r w:rsidRPr="001F685B">
        <w:rPr>
          <w:rFonts w:ascii="Times New Roman" w:eastAsia="Times New Roman" w:hAnsi="Times New Roman" w:cs="Times New Roman"/>
          <w:sz w:val="24"/>
          <w:szCs w:val="24"/>
          <w:shd w:val="clear" w:color="auto" w:fill="FFFFFF"/>
          <w:lang w:val="id-ID"/>
        </w:rPr>
        <w:t xml:space="preserve">Telkom Indonesia, as </w:t>
      </w:r>
      <w:proofErr w:type="spellStart"/>
      <w:r w:rsidRPr="001F685B">
        <w:rPr>
          <w:rFonts w:ascii="Times New Roman" w:eastAsia="Times New Roman" w:hAnsi="Times New Roman" w:cs="Times New Roman"/>
          <w:sz w:val="24"/>
          <w:szCs w:val="24"/>
          <w:shd w:val="clear" w:color="auto" w:fill="FFFFFF"/>
          <w:lang w:val="id-ID"/>
        </w:rPr>
        <w:t>one</w:t>
      </w:r>
      <w:proofErr w:type="spellEnd"/>
      <w:r w:rsidRPr="001F685B">
        <w:rPr>
          <w:rFonts w:ascii="Times New Roman" w:eastAsia="Times New Roman" w:hAnsi="Times New Roman" w:cs="Times New Roman"/>
          <w:sz w:val="24"/>
          <w:szCs w:val="24"/>
          <w:shd w:val="clear" w:color="auto" w:fill="FFFFFF"/>
          <w:lang w:val="id-ID"/>
        </w:rPr>
        <w:t xml:space="preserve"> </w:t>
      </w:r>
      <w:proofErr w:type="spellStart"/>
      <w:r w:rsidRPr="001F685B">
        <w:rPr>
          <w:rFonts w:ascii="Times New Roman" w:eastAsia="Times New Roman" w:hAnsi="Times New Roman" w:cs="Times New Roman"/>
          <w:sz w:val="24"/>
          <w:szCs w:val="24"/>
          <w:shd w:val="clear" w:color="auto" w:fill="FFFFFF"/>
          <w:lang w:val="id-ID"/>
        </w:rPr>
        <w:t>of</w:t>
      </w:r>
      <w:proofErr w:type="spellEnd"/>
      <w:r w:rsidRPr="001F685B">
        <w:rPr>
          <w:rFonts w:ascii="Times New Roman" w:eastAsia="Times New Roman" w:hAnsi="Times New Roman" w:cs="Times New Roman"/>
          <w:sz w:val="24"/>
          <w:szCs w:val="24"/>
          <w:shd w:val="clear" w:color="auto" w:fill="FFFFFF"/>
          <w:lang w:val="id-ID"/>
        </w:rPr>
        <w:t xml:space="preserve"> </w:t>
      </w:r>
      <w:proofErr w:type="spellStart"/>
      <w:r w:rsidRPr="001F685B">
        <w:rPr>
          <w:rFonts w:ascii="Times New Roman" w:eastAsia="Times New Roman" w:hAnsi="Times New Roman" w:cs="Times New Roman"/>
          <w:sz w:val="24"/>
          <w:szCs w:val="24"/>
          <w:shd w:val="clear" w:color="auto" w:fill="FFFFFF"/>
          <w:lang w:val="id-ID"/>
        </w:rPr>
        <w:t>the</w:t>
      </w:r>
      <w:proofErr w:type="spellEnd"/>
      <w:r w:rsidRPr="001F685B">
        <w:rPr>
          <w:rFonts w:ascii="Times New Roman" w:eastAsia="Times New Roman" w:hAnsi="Times New Roman" w:cs="Times New Roman"/>
          <w:sz w:val="24"/>
          <w:szCs w:val="24"/>
          <w:shd w:val="clear" w:color="auto" w:fill="FFFFFF"/>
          <w:lang w:val="id-ID"/>
        </w:rPr>
        <w:t xml:space="preserve"> </w:t>
      </w:r>
      <w:proofErr w:type="spellStart"/>
      <w:r w:rsidRPr="001F685B">
        <w:rPr>
          <w:rFonts w:ascii="Times New Roman" w:eastAsia="Times New Roman" w:hAnsi="Times New Roman" w:cs="Times New Roman"/>
          <w:sz w:val="24"/>
          <w:szCs w:val="24"/>
          <w:shd w:val="clear" w:color="auto" w:fill="FFFFFF"/>
          <w:lang w:val="id-ID"/>
        </w:rPr>
        <w:t>major</w:t>
      </w:r>
      <w:proofErr w:type="spellEnd"/>
      <w:r w:rsidRPr="001F685B">
        <w:rPr>
          <w:rFonts w:ascii="Times New Roman" w:eastAsia="Times New Roman" w:hAnsi="Times New Roman" w:cs="Times New Roman"/>
          <w:sz w:val="24"/>
          <w:szCs w:val="24"/>
          <w:shd w:val="clear" w:color="auto" w:fill="FFFFFF"/>
          <w:lang w:val="id-ID"/>
        </w:rPr>
        <w:t xml:space="preserve"> players in telecommunications and information technology in Indonesia, plays an important role in driving the adoption of IoT in the transportation sector. The company serves as a telecommunications infrastructure provider that ensures fast and reliable connectivity, which is the foundation for IoT solutions. In addition, Telkom also acts as a solution provider with a technical team and application developers ready to support IoT implementation according to customer needs. Collaboration between actors, both internal and external, is key in developing solutions that are appropriate for the needs of the transportation industry. Through expertise in application and technology development, Telkom Indonesia is able to offer a variety of integrated solutions that </w:t>
      </w:r>
      <w:proofErr w:type="spellStart"/>
      <w:r w:rsidRPr="001F685B">
        <w:rPr>
          <w:rFonts w:ascii="Times New Roman" w:eastAsia="Times New Roman" w:hAnsi="Times New Roman" w:cs="Times New Roman"/>
          <w:sz w:val="24"/>
          <w:szCs w:val="24"/>
          <w:shd w:val="clear" w:color="auto" w:fill="FFFFFF"/>
          <w:lang w:val="id-ID"/>
        </w:rPr>
        <w:t>encourage</w:t>
      </w:r>
      <w:proofErr w:type="spellEnd"/>
      <w:r w:rsidRPr="001F685B">
        <w:rPr>
          <w:rFonts w:ascii="Times New Roman" w:eastAsia="Times New Roman" w:hAnsi="Times New Roman" w:cs="Times New Roman"/>
          <w:sz w:val="24"/>
          <w:szCs w:val="24"/>
          <w:shd w:val="clear" w:color="auto" w:fill="FFFFFF"/>
          <w:lang w:val="id-ID"/>
        </w:rPr>
        <w:t xml:space="preserve"> </w:t>
      </w:r>
      <w:proofErr w:type="spellStart"/>
      <w:r w:rsidRPr="001F685B">
        <w:rPr>
          <w:rFonts w:ascii="Times New Roman" w:eastAsia="Times New Roman" w:hAnsi="Times New Roman" w:cs="Times New Roman"/>
          <w:sz w:val="24"/>
          <w:szCs w:val="24"/>
          <w:shd w:val="clear" w:color="auto" w:fill="FFFFFF"/>
          <w:lang w:val="id-ID"/>
        </w:rPr>
        <w:t>the</w:t>
      </w:r>
      <w:proofErr w:type="spellEnd"/>
      <w:r w:rsidRPr="001F685B">
        <w:rPr>
          <w:rFonts w:ascii="Times New Roman" w:eastAsia="Times New Roman" w:hAnsi="Times New Roman" w:cs="Times New Roman"/>
          <w:sz w:val="24"/>
          <w:szCs w:val="24"/>
          <w:shd w:val="clear" w:color="auto" w:fill="FFFFFF"/>
          <w:lang w:val="id-ID"/>
        </w:rPr>
        <w:t xml:space="preserve"> </w:t>
      </w:r>
      <w:proofErr w:type="spellStart"/>
      <w:r w:rsidRPr="001F685B">
        <w:rPr>
          <w:rFonts w:ascii="Times New Roman" w:eastAsia="Times New Roman" w:hAnsi="Times New Roman" w:cs="Times New Roman"/>
          <w:sz w:val="24"/>
          <w:szCs w:val="24"/>
          <w:shd w:val="clear" w:color="auto" w:fill="FFFFFF"/>
          <w:lang w:val="id-ID"/>
        </w:rPr>
        <w:t>digitalization</w:t>
      </w:r>
      <w:proofErr w:type="spellEnd"/>
      <w:r w:rsidRPr="001F685B">
        <w:rPr>
          <w:rFonts w:ascii="Times New Roman" w:eastAsia="Times New Roman" w:hAnsi="Times New Roman" w:cs="Times New Roman"/>
          <w:sz w:val="24"/>
          <w:szCs w:val="24"/>
          <w:shd w:val="clear" w:color="auto" w:fill="FFFFFF"/>
          <w:lang w:val="id-ID"/>
        </w:rPr>
        <w:t xml:space="preserve"> </w:t>
      </w:r>
      <w:proofErr w:type="spellStart"/>
      <w:r w:rsidRPr="001F685B">
        <w:rPr>
          <w:rFonts w:ascii="Times New Roman" w:eastAsia="Times New Roman" w:hAnsi="Times New Roman" w:cs="Times New Roman"/>
          <w:sz w:val="24"/>
          <w:szCs w:val="24"/>
          <w:shd w:val="clear" w:color="auto" w:fill="FFFFFF"/>
          <w:lang w:val="id-ID"/>
        </w:rPr>
        <w:t>of</w:t>
      </w:r>
      <w:proofErr w:type="spellEnd"/>
      <w:r w:rsidRPr="001F685B">
        <w:rPr>
          <w:rFonts w:ascii="Times New Roman" w:eastAsia="Times New Roman" w:hAnsi="Times New Roman" w:cs="Times New Roman"/>
          <w:sz w:val="24"/>
          <w:szCs w:val="24"/>
          <w:shd w:val="clear" w:color="auto" w:fill="FFFFFF"/>
          <w:lang w:val="id-ID"/>
        </w:rPr>
        <w:t xml:space="preserve"> </w:t>
      </w:r>
      <w:proofErr w:type="spellStart"/>
      <w:r w:rsidRPr="001F685B">
        <w:rPr>
          <w:rFonts w:ascii="Times New Roman" w:eastAsia="Times New Roman" w:hAnsi="Times New Roman" w:cs="Times New Roman"/>
          <w:sz w:val="24"/>
          <w:szCs w:val="24"/>
          <w:shd w:val="clear" w:color="auto" w:fill="FFFFFF"/>
          <w:lang w:val="id-ID"/>
        </w:rPr>
        <w:t>transportation</w:t>
      </w:r>
      <w:proofErr w:type="spellEnd"/>
      <w:r w:rsidRPr="001F685B">
        <w:rPr>
          <w:rFonts w:ascii="Times New Roman" w:eastAsia="Times New Roman" w:hAnsi="Times New Roman" w:cs="Times New Roman"/>
          <w:sz w:val="24"/>
          <w:szCs w:val="24"/>
          <w:shd w:val="clear" w:color="auto" w:fill="FFFFFF"/>
          <w:lang w:val="id-ID"/>
        </w:rPr>
        <w:t xml:space="preserve"> in Indonesia.</w:t>
      </w:r>
    </w:p>
    <w:p w14:paraId="0D1EA720" w14:textId="77777777" w:rsidR="00A10522" w:rsidRPr="001F685B" w:rsidRDefault="00A10522" w:rsidP="001F685B">
      <w:pPr>
        <w:snapToGrid w:val="0"/>
        <w:spacing w:before="120" w:after="120" w:line="240" w:lineRule="auto"/>
        <w:jc w:val="both"/>
        <w:rPr>
          <w:rFonts w:ascii="Times New Roman" w:eastAsia="Times New Roman" w:hAnsi="Times New Roman" w:cs="Times New Roman"/>
          <w:b/>
          <w:sz w:val="24"/>
          <w:szCs w:val="24"/>
          <w:shd w:val="clear" w:color="auto" w:fill="FFFFFF"/>
        </w:rPr>
      </w:pPr>
      <w:r w:rsidRPr="001F685B">
        <w:rPr>
          <w:rFonts w:ascii="Times New Roman" w:eastAsia="Times New Roman" w:hAnsi="Times New Roman" w:cs="Times New Roman"/>
          <w:b/>
          <w:sz w:val="24"/>
          <w:szCs w:val="24"/>
          <w:shd w:val="clear" w:color="auto" w:fill="FFFFFF"/>
          <w:lang w:val="id-ID"/>
        </w:rPr>
        <w:t>References</w:t>
      </w:r>
    </w:p>
    <w:p w14:paraId="3A8844C6" w14:textId="6C1A1EE4" w:rsidR="002A3CF4" w:rsidRPr="001F685B" w:rsidRDefault="009B58E8"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eastAsia="Times New Roman" w:hAnsi="Times New Roman" w:cs="Times New Roman"/>
          <w:sz w:val="24"/>
          <w:szCs w:val="24"/>
        </w:rPr>
        <w:fldChar w:fldCharType="begin" w:fldLock="1"/>
      </w:r>
      <w:r w:rsidRPr="001F685B">
        <w:rPr>
          <w:rFonts w:ascii="Times New Roman" w:eastAsia="Times New Roman" w:hAnsi="Times New Roman" w:cs="Times New Roman"/>
          <w:sz w:val="24"/>
          <w:szCs w:val="24"/>
        </w:rPr>
        <w:instrText xml:space="preserve">ADDIN Mendeley Bibliography CSL_BIBLIOGRAPHY </w:instrText>
      </w:r>
      <w:r w:rsidRPr="001F685B">
        <w:rPr>
          <w:rFonts w:ascii="Times New Roman" w:eastAsia="Times New Roman" w:hAnsi="Times New Roman" w:cs="Times New Roman"/>
          <w:sz w:val="24"/>
          <w:szCs w:val="24"/>
        </w:rPr>
        <w:fldChar w:fldCharType="separate"/>
      </w:r>
      <w:r w:rsidR="002A3CF4" w:rsidRPr="001F685B">
        <w:rPr>
          <w:rFonts w:ascii="Times New Roman" w:hAnsi="Times New Roman" w:cs="Times New Roman"/>
          <w:noProof/>
          <w:sz w:val="24"/>
          <w:szCs w:val="24"/>
        </w:rPr>
        <w:t xml:space="preserve">Adner, R. (2017). Ecosystem as Structure: An Actionable Construct for Strategy. </w:t>
      </w:r>
      <w:r w:rsidR="002A3CF4" w:rsidRPr="001F685B">
        <w:rPr>
          <w:rFonts w:ascii="Times New Roman" w:hAnsi="Times New Roman" w:cs="Times New Roman"/>
          <w:i/>
          <w:iCs/>
          <w:noProof/>
          <w:sz w:val="24"/>
          <w:szCs w:val="24"/>
        </w:rPr>
        <w:t>Journal of Management</w:t>
      </w:r>
      <w:r w:rsidR="002A3CF4" w:rsidRPr="001F685B">
        <w:rPr>
          <w:rFonts w:ascii="Times New Roman" w:hAnsi="Times New Roman" w:cs="Times New Roman"/>
          <w:noProof/>
          <w:sz w:val="24"/>
          <w:szCs w:val="24"/>
        </w:rPr>
        <w:t xml:space="preserve">, </w:t>
      </w:r>
      <w:r w:rsidR="002A3CF4" w:rsidRPr="001F685B">
        <w:rPr>
          <w:rFonts w:ascii="Times New Roman" w:hAnsi="Times New Roman" w:cs="Times New Roman"/>
          <w:i/>
          <w:iCs/>
          <w:noProof/>
          <w:sz w:val="24"/>
          <w:szCs w:val="24"/>
        </w:rPr>
        <w:t>43</w:t>
      </w:r>
      <w:r w:rsidR="002A3CF4" w:rsidRPr="001F685B">
        <w:rPr>
          <w:rFonts w:ascii="Times New Roman" w:hAnsi="Times New Roman" w:cs="Times New Roman"/>
          <w:noProof/>
          <w:sz w:val="24"/>
          <w:szCs w:val="24"/>
        </w:rPr>
        <w:t>(1), 39–58. https://doi.org/10.1177/0149206316678451</w:t>
      </w:r>
    </w:p>
    <w:p w14:paraId="18C3235E"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Almeida, G., &amp; Nora, M. (2022). Stakeholder theory and actor-network theory: The stakeholder engagement in energy transitions. </w:t>
      </w:r>
      <w:r w:rsidRPr="001F685B">
        <w:rPr>
          <w:rFonts w:ascii="Times New Roman" w:hAnsi="Times New Roman" w:cs="Times New Roman"/>
          <w:i/>
          <w:iCs/>
          <w:noProof/>
          <w:sz w:val="24"/>
          <w:szCs w:val="24"/>
        </w:rPr>
        <w:t>Business Strategy and the Environment</w:t>
      </w:r>
      <w:r w:rsidRPr="001F685B">
        <w:rPr>
          <w:rFonts w:ascii="Times New Roman" w:hAnsi="Times New Roman" w:cs="Times New Roman"/>
          <w:noProof/>
          <w:sz w:val="24"/>
          <w:szCs w:val="24"/>
        </w:rPr>
        <w:t>, 1–13. https://doi.org/10.1002/bse.3168</w:t>
      </w:r>
    </w:p>
    <w:p w14:paraId="113092E9"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Bai, G. (Ginkgo), Zhao, L., &amp; Wang, Z. E. (2018). Advantech: evolution of its IoT ecosystem strategy. </w:t>
      </w:r>
      <w:r w:rsidRPr="001F685B">
        <w:rPr>
          <w:rFonts w:ascii="Times New Roman" w:hAnsi="Times New Roman" w:cs="Times New Roman"/>
          <w:i/>
          <w:iCs/>
          <w:noProof/>
          <w:sz w:val="24"/>
          <w:szCs w:val="24"/>
        </w:rPr>
        <w:t>Emerald Emerging Markets Case Studies</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8</w:t>
      </w:r>
      <w:r w:rsidRPr="001F685B">
        <w:rPr>
          <w:rFonts w:ascii="Times New Roman" w:hAnsi="Times New Roman" w:cs="Times New Roman"/>
          <w:noProof/>
          <w:sz w:val="24"/>
          <w:szCs w:val="24"/>
        </w:rPr>
        <w:t>(4), 1–28. https://doi.org/10.1108/EEMCS-06-2018-0131</w:t>
      </w:r>
    </w:p>
    <w:p w14:paraId="0F80AC3F"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Bruijl, G. H. T. (2018). The Relevance of Porter’s Five Forces in Today’s Innovative and Changing Business Environment. </w:t>
      </w:r>
      <w:r w:rsidRPr="001F685B">
        <w:rPr>
          <w:rFonts w:ascii="Times New Roman" w:hAnsi="Times New Roman" w:cs="Times New Roman"/>
          <w:i/>
          <w:iCs/>
          <w:noProof/>
          <w:sz w:val="24"/>
          <w:szCs w:val="24"/>
        </w:rPr>
        <w:t>Brooklyn Journal of Corporate, Financial &amp; Commercial Law</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15</w:t>
      </w:r>
      <w:r w:rsidRPr="001F685B">
        <w:rPr>
          <w:rFonts w:ascii="Times New Roman" w:hAnsi="Times New Roman" w:cs="Times New Roman"/>
          <w:noProof/>
          <w:sz w:val="24"/>
          <w:szCs w:val="24"/>
        </w:rPr>
        <w:t>(June), 1–43.</w:t>
      </w:r>
    </w:p>
    <w:p w14:paraId="565C97D2"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Chan, H. C. Y. (2015). Internet of things business models. </w:t>
      </w:r>
      <w:r w:rsidRPr="001F685B">
        <w:rPr>
          <w:rFonts w:ascii="Times New Roman" w:hAnsi="Times New Roman" w:cs="Times New Roman"/>
          <w:i/>
          <w:iCs/>
          <w:noProof/>
          <w:sz w:val="24"/>
          <w:szCs w:val="24"/>
        </w:rPr>
        <w:t>Journal of Service Science and Management</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9</w:t>
      </w:r>
      <w:r w:rsidRPr="001F685B">
        <w:rPr>
          <w:rFonts w:ascii="Times New Roman" w:hAnsi="Times New Roman" w:cs="Times New Roman"/>
          <w:noProof/>
          <w:sz w:val="24"/>
          <w:szCs w:val="24"/>
        </w:rPr>
        <w:t>, 552–568. https://doi.org/10.1002/9781119173601.ch45</w:t>
      </w:r>
    </w:p>
    <w:p w14:paraId="39393033"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Chatterjee, S., &amp; Kar, A. K. (2018). Regulation and governance of the Internet of Things in India. </w:t>
      </w:r>
      <w:r w:rsidRPr="001F685B">
        <w:rPr>
          <w:rFonts w:ascii="Times New Roman" w:hAnsi="Times New Roman" w:cs="Times New Roman"/>
          <w:i/>
          <w:iCs/>
          <w:noProof/>
          <w:sz w:val="24"/>
          <w:szCs w:val="24"/>
        </w:rPr>
        <w:t xml:space="preserve">Digital Policy, Regulation and Governance </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20</w:t>
      </w:r>
      <w:r w:rsidRPr="001F685B">
        <w:rPr>
          <w:rFonts w:ascii="Times New Roman" w:hAnsi="Times New Roman" w:cs="Times New Roman"/>
          <w:noProof/>
          <w:sz w:val="24"/>
          <w:szCs w:val="24"/>
        </w:rPr>
        <w:t>(5), 399–412. https://doi.org/10.1108/DPRG-04-2018-0017</w:t>
      </w:r>
    </w:p>
    <w:p w14:paraId="61FAF75B"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Danivola, N., &amp; Kuznetsova, Y. (2020). Market Analysis Instruments in the Development of the Startup Marketing Strategy. </w:t>
      </w:r>
      <w:r w:rsidRPr="001F685B">
        <w:rPr>
          <w:rFonts w:ascii="Times New Roman" w:hAnsi="Times New Roman" w:cs="Times New Roman"/>
          <w:i/>
          <w:iCs/>
          <w:noProof/>
          <w:sz w:val="24"/>
          <w:szCs w:val="24"/>
        </w:rPr>
        <w:t>European Journal of Economics and Management</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6</w:t>
      </w:r>
      <w:r w:rsidRPr="001F685B">
        <w:rPr>
          <w:rFonts w:ascii="Times New Roman" w:hAnsi="Times New Roman" w:cs="Times New Roman"/>
          <w:noProof/>
          <w:sz w:val="24"/>
          <w:szCs w:val="24"/>
        </w:rPr>
        <w:t>(2), 150–163. https://doi.org/10.46340/eujem.2020.6.2.18</w:t>
      </w:r>
    </w:p>
    <w:p w14:paraId="73F04E4C"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Fayed, M. S. (2022). Network Generations and the Security Challenge in IoT Applications. In </w:t>
      </w:r>
      <w:r w:rsidRPr="001F685B">
        <w:rPr>
          <w:rFonts w:ascii="Times New Roman" w:hAnsi="Times New Roman" w:cs="Times New Roman"/>
          <w:i/>
          <w:iCs/>
          <w:noProof/>
          <w:sz w:val="24"/>
          <w:szCs w:val="24"/>
        </w:rPr>
        <w:t>Computer Science: Cryptography and Security</w:t>
      </w:r>
      <w:r w:rsidRPr="001F685B">
        <w:rPr>
          <w:rFonts w:ascii="Times New Roman" w:hAnsi="Times New Roman" w:cs="Times New Roman"/>
          <w:noProof/>
          <w:sz w:val="24"/>
          <w:szCs w:val="24"/>
        </w:rPr>
        <w:t xml:space="preserve">. </w:t>
      </w:r>
      <w:r w:rsidRPr="001F685B">
        <w:rPr>
          <w:rFonts w:ascii="Times New Roman" w:hAnsi="Times New Roman" w:cs="Times New Roman"/>
          <w:noProof/>
          <w:sz w:val="24"/>
          <w:szCs w:val="24"/>
        </w:rPr>
        <w:lastRenderedPageBreak/>
        <w:t>https://doi.org/10.48550/arXiv.2201.01927</w:t>
      </w:r>
    </w:p>
    <w:p w14:paraId="64F8BD8E"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Heese, H. S., Kemahlıoğlu-Ziya, E., &amp; Perdikaki, O. (2021). Outsourcing under Competition and Scale Economies: When to Choose a Competitor as a Supplier. </w:t>
      </w:r>
      <w:r w:rsidRPr="001F685B">
        <w:rPr>
          <w:rFonts w:ascii="Times New Roman" w:hAnsi="Times New Roman" w:cs="Times New Roman"/>
          <w:i/>
          <w:iCs/>
          <w:noProof/>
          <w:sz w:val="24"/>
          <w:szCs w:val="24"/>
        </w:rPr>
        <w:t>Decision Sciences</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52</w:t>
      </w:r>
      <w:r w:rsidRPr="001F685B">
        <w:rPr>
          <w:rFonts w:ascii="Times New Roman" w:hAnsi="Times New Roman" w:cs="Times New Roman"/>
          <w:noProof/>
          <w:sz w:val="24"/>
          <w:szCs w:val="24"/>
        </w:rPr>
        <w:t>(5), 1209–1241. https://doi.org/10.1111/deci.12449</w:t>
      </w:r>
    </w:p>
    <w:p w14:paraId="358CEBD8"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Isabelle, D., Horak, K., McKinnon, S., &amp; Palumbo, C. (2020). Is Porter’s five forces framework still relevant? A study of the capital/labour intensity continuum via mining and IT industries. </w:t>
      </w:r>
      <w:r w:rsidRPr="001F685B">
        <w:rPr>
          <w:rFonts w:ascii="Times New Roman" w:hAnsi="Times New Roman" w:cs="Times New Roman"/>
          <w:i/>
          <w:iCs/>
          <w:noProof/>
          <w:sz w:val="24"/>
          <w:szCs w:val="24"/>
        </w:rPr>
        <w:t>Technology Innovation Management Review</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10</w:t>
      </w:r>
      <w:r w:rsidRPr="001F685B">
        <w:rPr>
          <w:rFonts w:ascii="Times New Roman" w:hAnsi="Times New Roman" w:cs="Times New Roman"/>
          <w:noProof/>
          <w:sz w:val="24"/>
          <w:szCs w:val="24"/>
        </w:rPr>
        <w:t>(6), 28–41. https://doi.org/10.22215/timreview/1366</w:t>
      </w:r>
    </w:p>
    <w:p w14:paraId="7A408F96"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Jüttner, U., Christopher, M., &amp; Baker, S. (2007). Demand chain management-integrating marketing and supply chain management. </w:t>
      </w:r>
      <w:r w:rsidRPr="001F685B">
        <w:rPr>
          <w:rFonts w:ascii="Times New Roman" w:hAnsi="Times New Roman" w:cs="Times New Roman"/>
          <w:i/>
          <w:iCs/>
          <w:noProof/>
          <w:sz w:val="24"/>
          <w:szCs w:val="24"/>
        </w:rPr>
        <w:t>Industrial Marketing Management</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36</w:t>
      </w:r>
      <w:r w:rsidRPr="001F685B">
        <w:rPr>
          <w:rFonts w:ascii="Times New Roman" w:hAnsi="Times New Roman" w:cs="Times New Roman"/>
          <w:noProof/>
          <w:sz w:val="24"/>
          <w:szCs w:val="24"/>
        </w:rPr>
        <w:t>(3), 377–392. https://doi.org/10.1016/j.indmarman.2005.10.003</w:t>
      </w:r>
    </w:p>
    <w:p w14:paraId="19D170B2"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Kahle, J. H., Marcon, É., Ghezzi, A., &amp; Frank, A. G. (2020). Smart Products value creation in SMEs innovation ecosystems. </w:t>
      </w:r>
      <w:r w:rsidRPr="001F685B">
        <w:rPr>
          <w:rFonts w:ascii="Times New Roman" w:hAnsi="Times New Roman" w:cs="Times New Roman"/>
          <w:i/>
          <w:iCs/>
          <w:noProof/>
          <w:sz w:val="24"/>
          <w:szCs w:val="24"/>
        </w:rPr>
        <w:t>Technological Forecasting and Social Change</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156</w:t>
      </w:r>
      <w:r w:rsidRPr="001F685B">
        <w:rPr>
          <w:rFonts w:ascii="Times New Roman" w:hAnsi="Times New Roman" w:cs="Times New Roman"/>
          <w:noProof/>
          <w:sz w:val="24"/>
          <w:szCs w:val="24"/>
        </w:rPr>
        <w:t>, 1–14. https://doi.org/10.1016/j.techfore.2020.120024</w:t>
      </w:r>
    </w:p>
    <w:p w14:paraId="12DD123E"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Kreutzer, R. T. (2019). Tools for the Strategic Analysis. In </w:t>
      </w:r>
      <w:r w:rsidRPr="001F685B">
        <w:rPr>
          <w:rFonts w:ascii="Times New Roman" w:hAnsi="Times New Roman" w:cs="Times New Roman"/>
          <w:i/>
          <w:iCs/>
          <w:noProof/>
          <w:sz w:val="24"/>
          <w:szCs w:val="24"/>
        </w:rPr>
        <w:t>Toolbox for Marketing and Management: Creative Concepts, Forecasting Methods, and Analytical Instruments</w:t>
      </w:r>
      <w:r w:rsidRPr="001F685B">
        <w:rPr>
          <w:rFonts w:ascii="Times New Roman" w:hAnsi="Times New Roman" w:cs="Times New Roman"/>
          <w:noProof/>
          <w:sz w:val="24"/>
          <w:szCs w:val="24"/>
        </w:rPr>
        <w:t xml:space="preserve"> (pp. 89–142). Springer Cham. https://doi.org/10.1007/978-3-030-13823-3</w:t>
      </w:r>
    </w:p>
    <w:p w14:paraId="46118321"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Lee, C., Lee, K., &amp; Pennings, J. M. (2001). Internal capabilities, external networks, and performance: A study on technology-based ventures. </w:t>
      </w:r>
      <w:r w:rsidRPr="001F685B">
        <w:rPr>
          <w:rFonts w:ascii="Times New Roman" w:hAnsi="Times New Roman" w:cs="Times New Roman"/>
          <w:i/>
          <w:iCs/>
          <w:noProof/>
          <w:sz w:val="24"/>
          <w:szCs w:val="24"/>
        </w:rPr>
        <w:t>Strategic Management Journal</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22</w:t>
      </w:r>
      <w:r w:rsidRPr="001F685B">
        <w:rPr>
          <w:rFonts w:ascii="Times New Roman" w:hAnsi="Times New Roman" w:cs="Times New Roman"/>
          <w:noProof/>
          <w:sz w:val="24"/>
          <w:szCs w:val="24"/>
        </w:rPr>
        <w:t>(6–7), 615–640. https://doi.org/10.1002/smj.181</w:t>
      </w:r>
    </w:p>
    <w:p w14:paraId="28E06214"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Lehtinen, J., &amp; Aaltonen, K. (2020). Organizing external stakeholder engagement in inter-organizational projects: Opening the black box. </w:t>
      </w:r>
      <w:r w:rsidRPr="001F685B">
        <w:rPr>
          <w:rFonts w:ascii="Times New Roman" w:hAnsi="Times New Roman" w:cs="Times New Roman"/>
          <w:i/>
          <w:iCs/>
          <w:noProof/>
          <w:sz w:val="24"/>
          <w:szCs w:val="24"/>
        </w:rPr>
        <w:t>International Journal of Project Management</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38</w:t>
      </w:r>
      <w:r w:rsidRPr="001F685B">
        <w:rPr>
          <w:rFonts w:ascii="Times New Roman" w:hAnsi="Times New Roman" w:cs="Times New Roman"/>
          <w:noProof/>
          <w:sz w:val="24"/>
          <w:szCs w:val="24"/>
        </w:rPr>
        <w:t>(2), 85–98. https://doi.org/10.1016/j.ijproman.2019.12.001</w:t>
      </w:r>
    </w:p>
    <w:p w14:paraId="431F71FB"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Linde, L., Frishammar, J., &amp; Parida, V. (2023). Revenue Models for Digital Servitization: A Value Capture Framework for Designing, Developing, and Scaling Digital Services. </w:t>
      </w:r>
      <w:r w:rsidRPr="001F685B">
        <w:rPr>
          <w:rFonts w:ascii="Times New Roman" w:hAnsi="Times New Roman" w:cs="Times New Roman"/>
          <w:i/>
          <w:iCs/>
          <w:noProof/>
          <w:sz w:val="24"/>
          <w:szCs w:val="24"/>
        </w:rPr>
        <w:t>IEEE Transactions on Engineering Management</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70</w:t>
      </w:r>
      <w:r w:rsidRPr="001F685B">
        <w:rPr>
          <w:rFonts w:ascii="Times New Roman" w:hAnsi="Times New Roman" w:cs="Times New Roman"/>
          <w:noProof/>
          <w:sz w:val="24"/>
          <w:szCs w:val="24"/>
        </w:rPr>
        <w:t>(1), 82–97. https://doi.org/10.1109/TEM.2021.3053386</w:t>
      </w:r>
    </w:p>
    <w:p w14:paraId="2864866C"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Lingens, B., Böger, M., Gackstatter, S., &amp; Lemaire, A. (2019). </w:t>
      </w:r>
      <w:r w:rsidRPr="001F685B">
        <w:rPr>
          <w:rFonts w:ascii="Times New Roman" w:hAnsi="Times New Roman" w:cs="Times New Roman"/>
          <w:i/>
          <w:iCs/>
          <w:noProof/>
          <w:sz w:val="24"/>
          <w:szCs w:val="24"/>
        </w:rPr>
        <w:t>Business ecosystems: Partnership of equals for corporates, SMEs and startups</w:t>
      </w:r>
      <w:r w:rsidRPr="001F685B">
        <w:rPr>
          <w:rFonts w:ascii="Times New Roman" w:hAnsi="Times New Roman" w:cs="Times New Roman"/>
          <w:noProof/>
          <w:sz w:val="24"/>
          <w:szCs w:val="24"/>
        </w:rPr>
        <w:t>. Jerman: Roland Berger Focus.</w:t>
      </w:r>
    </w:p>
    <w:p w14:paraId="3385A7B7"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Ma, Z., Christensen, K., &amp; Jørgensen, B. N. (2021). Business ecosystem architecture development: a case study of Electric Vehicle home charging. </w:t>
      </w:r>
      <w:r w:rsidRPr="001F685B">
        <w:rPr>
          <w:rFonts w:ascii="Times New Roman" w:hAnsi="Times New Roman" w:cs="Times New Roman"/>
          <w:i/>
          <w:iCs/>
          <w:noProof/>
          <w:sz w:val="24"/>
          <w:szCs w:val="24"/>
        </w:rPr>
        <w:t>Energy Informatics</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4</w:t>
      </w:r>
      <w:r w:rsidRPr="001F685B">
        <w:rPr>
          <w:rFonts w:ascii="Times New Roman" w:hAnsi="Times New Roman" w:cs="Times New Roman"/>
          <w:noProof/>
          <w:sz w:val="24"/>
          <w:szCs w:val="24"/>
        </w:rPr>
        <w:t>(9), 1–38. https://doi.org/10.1186/s42162-021-00142-y</w:t>
      </w:r>
    </w:p>
    <w:p w14:paraId="297FE016"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Milanova, V., &amp; Maas, P. (2017). Sharing intangibles: Uncovering individual motives for engagement in a sharing service setting. </w:t>
      </w:r>
      <w:r w:rsidRPr="001F685B">
        <w:rPr>
          <w:rFonts w:ascii="Times New Roman" w:hAnsi="Times New Roman" w:cs="Times New Roman"/>
          <w:i/>
          <w:iCs/>
          <w:noProof/>
          <w:sz w:val="24"/>
          <w:szCs w:val="24"/>
        </w:rPr>
        <w:t>Journal of Business Research</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75</w:t>
      </w:r>
      <w:r w:rsidRPr="001F685B">
        <w:rPr>
          <w:rFonts w:ascii="Times New Roman" w:hAnsi="Times New Roman" w:cs="Times New Roman"/>
          <w:noProof/>
          <w:sz w:val="24"/>
          <w:szCs w:val="24"/>
        </w:rPr>
        <w:t>, 159–171. https://doi.org/10.1016/j.jbusres.2017.02.002</w:t>
      </w:r>
    </w:p>
    <w:p w14:paraId="29C48635"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Ministry of Communications and Informatics. (2022). </w:t>
      </w:r>
      <w:r w:rsidRPr="001F685B">
        <w:rPr>
          <w:rFonts w:ascii="Times New Roman" w:hAnsi="Times New Roman" w:cs="Times New Roman"/>
          <w:i/>
          <w:iCs/>
          <w:noProof/>
          <w:sz w:val="24"/>
          <w:szCs w:val="24"/>
        </w:rPr>
        <w:t>IoT Creation 2022 Dorong Percepatan Implementasi Internet of Things di Indonesia</w:t>
      </w:r>
      <w:r w:rsidRPr="001F685B">
        <w:rPr>
          <w:rFonts w:ascii="Times New Roman" w:hAnsi="Times New Roman" w:cs="Times New Roman"/>
          <w:noProof/>
          <w:sz w:val="24"/>
          <w:szCs w:val="24"/>
        </w:rPr>
        <w:t>. https://sdppi.kominfo.go.id/berita-iot-creation-2022-dorong-percepatan-implementasi-internet-of-things-di-indo-27-5530</w:t>
      </w:r>
    </w:p>
    <w:p w14:paraId="735D6D67"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Ogunranti, G. A., Ceryan, O., &amp; Banerjee, A. (2021). Buyer-supplier currency exchange rate flexibility contracts in global supply chains. </w:t>
      </w:r>
      <w:r w:rsidRPr="001F685B">
        <w:rPr>
          <w:rFonts w:ascii="Times New Roman" w:hAnsi="Times New Roman" w:cs="Times New Roman"/>
          <w:i/>
          <w:iCs/>
          <w:noProof/>
          <w:sz w:val="24"/>
          <w:szCs w:val="24"/>
        </w:rPr>
        <w:t>European Journal of Operational Research</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288</w:t>
      </w:r>
      <w:r w:rsidRPr="001F685B">
        <w:rPr>
          <w:rFonts w:ascii="Times New Roman" w:hAnsi="Times New Roman" w:cs="Times New Roman"/>
          <w:noProof/>
          <w:sz w:val="24"/>
          <w:szCs w:val="24"/>
        </w:rPr>
        <w:t>(2), 420–435. https://doi.org/10.1016/j.ejor.2020.05.053</w:t>
      </w:r>
    </w:p>
    <w:p w14:paraId="623AF390"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Othman, K. (2022). Exploring the implications of autonomous vehicles: a comprehensive review. In </w:t>
      </w:r>
      <w:r w:rsidRPr="001F685B">
        <w:rPr>
          <w:rFonts w:ascii="Times New Roman" w:hAnsi="Times New Roman" w:cs="Times New Roman"/>
          <w:i/>
          <w:iCs/>
          <w:noProof/>
          <w:sz w:val="24"/>
          <w:szCs w:val="24"/>
        </w:rPr>
        <w:t>Innovative Infrastructure Solutions</w:t>
      </w:r>
      <w:r w:rsidRPr="001F685B">
        <w:rPr>
          <w:rFonts w:ascii="Times New Roman" w:hAnsi="Times New Roman" w:cs="Times New Roman"/>
          <w:noProof/>
          <w:sz w:val="24"/>
          <w:szCs w:val="24"/>
        </w:rPr>
        <w:t xml:space="preserve"> (Vol. 7, Issue 2). Springer International </w:t>
      </w:r>
      <w:r w:rsidRPr="001F685B">
        <w:rPr>
          <w:rFonts w:ascii="Times New Roman" w:hAnsi="Times New Roman" w:cs="Times New Roman"/>
          <w:noProof/>
          <w:sz w:val="24"/>
          <w:szCs w:val="24"/>
        </w:rPr>
        <w:lastRenderedPageBreak/>
        <w:t>Publishing. https://doi.org/10.1007/s41062-022-00763-6</w:t>
      </w:r>
    </w:p>
    <w:p w14:paraId="0A9ED1ED"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Panico, C., &amp; Cennamo, C. (2022). User preferences and strategic interactions in platform ecosystems. </w:t>
      </w:r>
      <w:r w:rsidRPr="001F685B">
        <w:rPr>
          <w:rFonts w:ascii="Times New Roman" w:hAnsi="Times New Roman" w:cs="Times New Roman"/>
          <w:i/>
          <w:iCs/>
          <w:noProof/>
          <w:sz w:val="24"/>
          <w:szCs w:val="24"/>
        </w:rPr>
        <w:t>Strategic Management Journal</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43</w:t>
      </w:r>
      <w:r w:rsidRPr="001F685B">
        <w:rPr>
          <w:rFonts w:ascii="Times New Roman" w:hAnsi="Times New Roman" w:cs="Times New Roman"/>
          <w:noProof/>
          <w:sz w:val="24"/>
          <w:szCs w:val="24"/>
        </w:rPr>
        <w:t>(3), 507–529. https://doi.org/10.1002/smj.3149</w:t>
      </w:r>
    </w:p>
    <w:p w14:paraId="09E8392F"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Putera, G. A., &amp; Heikal, J. (2021). Business Strategy of Indah Kiat Pulp and Paper Perawang Mill, Riau, Indonesia using PESTLE, Porter’s Five Forces, and SWOT Analysis under SOSTAC® Framework. </w:t>
      </w:r>
      <w:r w:rsidRPr="001F685B">
        <w:rPr>
          <w:rFonts w:ascii="Times New Roman" w:hAnsi="Times New Roman" w:cs="Times New Roman"/>
          <w:i/>
          <w:iCs/>
          <w:noProof/>
          <w:sz w:val="24"/>
          <w:szCs w:val="24"/>
        </w:rPr>
        <w:t>International Journal of Scientific Research in Science and Technology</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8</w:t>
      </w:r>
      <w:r w:rsidRPr="001F685B">
        <w:rPr>
          <w:rFonts w:ascii="Times New Roman" w:hAnsi="Times New Roman" w:cs="Times New Roman"/>
          <w:noProof/>
          <w:sz w:val="24"/>
          <w:szCs w:val="24"/>
        </w:rPr>
        <w:t>(6), 252–270. https://doi.org/10.32628/ijsrst218624</w:t>
      </w:r>
    </w:p>
    <w:p w14:paraId="2CE66983"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Radonjic-Simic, M., &amp; Pfisterer, D. (2019). A Decentralized Business Ecosystem Model for Complex Products. In </w:t>
      </w:r>
      <w:r w:rsidRPr="001F685B">
        <w:rPr>
          <w:rFonts w:ascii="Times New Roman" w:hAnsi="Times New Roman" w:cs="Times New Roman"/>
          <w:i/>
          <w:iCs/>
          <w:noProof/>
          <w:sz w:val="24"/>
          <w:szCs w:val="24"/>
        </w:rPr>
        <w:t>Lecture Notes on Data Engineering and Communications Technologies</w:t>
      </w:r>
      <w:r w:rsidRPr="001F685B">
        <w:rPr>
          <w:rFonts w:ascii="Times New Roman" w:hAnsi="Times New Roman" w:cs="Times New Roman"/>
          <w:noProof/>
          <w:sz w:val="24"/>
          <w:szCs w:val="24"/>
        </w:rPr>
        <w:t xml:space="preserve"> (Vol. 21). https://doi.org/10.1007/978-3-319-93940-7_2</w:t>
      </w:r>
    </w:p>
    <w:p w14:paraId="1E6A8B3A"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Rong, K., Hu, G., Lin, Y., Shi, Y., &amp; Guo, L. (2015). Understanding business ecosystem using a 6C framework in Internet-of-Things-based sectors. </w:t>
      </w:r>
      <w:r w:rsidRPr="001F685B">
        <w:rPr>
          <w:rFonts w:ascii="Times New Roman" w:hAnsi="Times New Roman" w:cs="Times New Roman"/>
          <w:i/>
          <w:iCs/>
          <w:noProof/>
          <w:sz w:val="24"/>
          <w:szCs w:val="24"/>
        </w:rPr>
        <w:t>International Journal of Production Economics</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159</w:t>
      </w:r>
      <w:r w:rsidRPr="001F685B">
        <w:rPr>
          <w:rFonts w:ascii="Times New Roman" w:hAnsi="Times New Roman" w:cs="Times New Roman"/>
          <w:noProof/>
          <w:sz w:val="24"/>
          <w:szCs w:val="24"/>
        </w:rPr>
        <w:t>(2014), 41–55. https://doi.org/10.1016/j.ijpe.2014.09.003</w:t>
      </w:r>
    </w:p>
    <w:p w14:paraId="786BF23B"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Sallam, K., Mohamed, M., &amp; Wagdy Mohamed, A. (2023). Internet of Things (IoT) in Supply Chain Management: Challenges, Opportunities, and Best Practices. </w:t>
      </w:r>
      <w:r w:rsidRPr="001F685B">
        <w:rPr>
          <w:rFonts w:ascii="Times New Roman" w:hAnsi="Times New Roman" w:cs="Times New Roman"/>
          <w:i/>
          <w:iCs/>
          <w:noProof/>
          <w:sz w:val="24"/>
          <w:szCs w:val="24"/>
        </w:rPr>
        <w:t>Sustainable Machine Intelligence Journal</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2</w:t>
      </w:r>
      <w:r w:rsidRPr="001F685B">
        <w:rPr>
          <w:rFonts w:ascii="Times New Roman" w:hAnsi="Times New Roman" w:cs="Times New Roman"/>
          <w:noProof/>
          <w:sz w:val="24"/>
          <w:szCs w:val="24"/>
        </w:rPr>
        <w:t>, 1–32. https://doi.org/10.61185/smij.2023.22103</w:t>
      </w:r>
    </w:p>
    <w:p w14:paraId="6038AA2F"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Sanchez, M., Exposito, E., &amp; Aguilar, J. (2020). Industry 4.0: survey from a system integration perspective. </w:t>
      </w:r>
      <w:r w:rsidRPr="001F685B">
        <w:rPr>
          <w:rFonts w:ascii="Times New Roman" w:hAnsi="Times New Roman" w:cs="Times New Roman"/>
          <w:i/>
          <w:iCs/>
          <w:noProof/>
          <w:sz w:val="24"/>
          <w:szCs w:val="24"/>
        </w:rPr>
        <w:t>International Journal of Computer Integrated Manufacturing</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33</w:t>
      </w:r>
      <w:r w:rsidRPr="001F685B">
        <w:rPr>
          <w:rFonts w:ascii="Times New Roman" w:hAnsi="Times New Roman" w:cs="Times New Roman"/>
          <w:noProof/>
          <w:sz w:val="24"/>
          <w:szCs w:val="24"/>
        </w:rPr>
        <w:t>(10–11), 1017–1041. https://doi.org/10.1080/0951192X.2020.1775295</w:t>
      </w:r>
    </w:p>
    <w:p w14:paraId="78E5A483"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Tricahyono, D., &amp; Purnamasari, S. R. (2018). Business ecosystem of SMEs with value network analysis approach: A case study at Binong Jati Knitting Industrial Centre (BJKIC) Bandung. </w:t>
      </w:r>
      <w:r w:rsidRPr="001F685B">
        <w:rPr>
          <w:rFonts w:ascii="Times New Roman" w:hAnsi="Times New Roman" w:cs="Times New Roman"/>
          <w:i/>
          <w:iCs/>
          <w:noProof/>
          <w:sz w:val="24"/>
          <w:szCs w:val="24"/>
        </w:rPr>
        <w:t>Pertanika Journal of Social Sciences and Humanities</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26</w:t>
      </w:r>
      <w:r w:rsidRPr="001F685B">
        <w:rPr>
          <w:rFonts w:ascii="Times New Roman" w:hAnsi="Times New Roman" w:cs="Times New Roman"/>
          <w:noProof/>
          <w:sz w:val="24"/>
          <w:szCs w:val="24"/>
        </w:rPr>
        <w:t>, 113–118.</w:t>
      </w:r>
    </w:p>
    <w:p w14:paraId="1CE534D2"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van Kranenburg, R., &amp; Bassi, A. (2012). IoT Challenges. </w:t>
      </w:r>
      <w:r w:rsidRPr="001F685B">
        <w:rPr>
          <w:rFonts w:ascii="Times New Roman" w:hAnsi="Times New Roman" w:cs="Times New Roman"/>
          <w:i/>
          <w:iCs/>
          <w:noProof/>
          <w:sz w:val="24"/>
          <w:szCs w:val="24"/>
        </w:rPr>
        <w:t>Communications in Mobile Computing</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1</w:t>
      </w:r>
      <w:r w:rsidRPr="001F685B">
        <w:rPr>
          <w:rFonts w:ascii="Times New Roman" w:hAnsi="Times New Roman" w:cs="Times New Roman"/>
          <w:noProof/>
          <w:sz w:val="24"/>
          <w:szCs w:val="24"/>
        </w:rPr>
        <w:t>(1), 1–5. https://doi.org/10.1186/2192-1121-1-9</w:t>
      </w:r>
    </w:p>
    <w:p w14:paraId="20282040"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Wieringa, R., Engelsman, W., Gordijn, J., &amp; Ionita, D. (2019). A business ecosystem architecture modeling framework. </w:t>
      </w:r>
      <w:r w:rsidRPr="001F685B">
        <w:rPr>
          <w:rFonts w:ascii="Times New Roman" w:hAnsi="Times New Roman" w:cs="Times New Roman"/>
          <w:i/>
          <w:iCs/>
          <w:noProof/>
          <w:sz w:val="24"/>
          <w:szCs w:val="24"/>
        </w:rPr>
        <w:t>Proceedings - 21st IEEE Conference on Business Informatics, CBI 2019</w:t>
      </w:r>
      <w:r w:rsidRPr="001F685B">
        <w:rPr>
          <w:rFonts w:ascii="Times New Roman" w:hAnsi="Times New Roman" w:cs="Times New Roman"/>
          <w:noProof/>
          <w:sz w:val="24"/>
          <w:szCs w:val="24"/>
        </w:rPr>
        <w:t xml:space="preserve">, </w:t>
      </w:r>
      <w:r w:rsidRPr="001F685B">
        <w:rPr>
          <w:rFonts w:ascii="Times New Roman" w:hAnsi="Times New Roman" w:cs="Times New Roman"/>
          <w:i/>
          <w:iCs/>
          <w:noProof/>
          <w:sz w:val="24"/>
          <w:szCs w:val="24"/>
        </w:rPr>
        <w:t>1</w:t>
      </w:r>
      <w:r w:rsidRPr="001F685B">
        <w:rPr>
          <w:rFonts w:ascii="Times New Roman" w:hAnsi="Times New Roman" w:cs="Times New Roman"/>
          <w:noProof/>
          <w:sz w:val="24"/>
          <w:szCs w:val="24"/>
        </w:rPr>
        <w:t>, 147–156. https://doi.org/10.1109/CBI.2019.00024</w:t>
      </w:r>
    </w:p>
    <w:p w14:paraId="3E6A076C"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Wortmann, F., Kämmerling, S., Ellermann, K., Kühn, A., Plass, C., &amp; Dumitrescu, R. (2021). Development and evaluation of IoT-based platform business models in business-to-business. </w:t>
      </w:r>
      <w:r w:rsidRPr="001F685B">
        <w:rPr>
          <w:rFonts w:ascii="Times New Roman" w:hAnsi="Times New Roman" w:cs="Times New Roman"/>
          <w:i/>
          <w:iCs/>
          <w:noProof/>
          <w:sz w:val="24"/>
          <w:szCs w:val="24"/>
        </w:rPr>
        <w:t>Stuttgart Symposium for Product Development 2021</w:t>
      </w:r>
      <w:r w:rsidRPr="001F685B">
        <w:rPr>
          <w:rFonts w:ascii="Times New Roman" w:hAnsi="Times New Roman" w:cs="Times New Roman"/>
          <w:noProof/>
          <w:sz w:val="24"/>
          <w:szCs w:val="24"/>
        </w:rPr>
        <w:t>, 1–12.</w:t>
      </w:r>
    </w:p>
    <w:p w14:paraId="04ABA1B7"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Yulianto, A. (2023). </w:t>
      </w:r>
      <w:r w:rsidRPr="001F685B">
        <w:rPr>
          <w:rFonts w:ascii="Times New Roman" w:hAnsi="Times New Roman" w:cs="Times New Roman"/>
          <w:i/>
          <w:iCs/>
          <w:noProof/>
          <w:sz w:val="24"/>
          <w:szCs w:val="24"/>
        </w:rPr>
        <w:t>Pasar IoT di Indonesia pada 2025 Diprediksi Capai Rp 572,7 Triliun</w:t>
      </w:r>
      <w:r w:rsidRPr="001F685B">
        <w:rPr>
          <w:rFonts w:ascii="Times New Roman" w:hAnsi="Times New Roman" w:cs="Times New Roman"/>
          <w:noProof/>
          <w:sz w:val="24"/>
          <w:szCs w:val="24"/>
        </w:rPr>
        <w:t>. https://ekonomi.republika.co.id/berita/rrkde1396/pasar-iot-di-indonesia-pada-2025-diprediksi-capai-rp-5727-triliun</w:t>
      </w:r>
    </w:p>
    <w:p w14:paraId="47679709" w14:textId="77777777" w:rsidR="002A3CF4" w:rsidRPr="001F685B" w:rsidRDefault="002A3CF4" w:rsidP="001F685B">
      <w:pPr>
        <w:widowControl w:val="0"/>
        <w:autoSpaceDE w:val="0"/>
        <w:autoSpaceDN w:val="0"/>
        <w:adjustRightInd w:val="0"/>
        <w:snapToGrid w:val="0"/>
        <w:spacing w:before="120" w:after="120" w:line="240" w:lineRule="auto"/>
        <w:ind w:left="851" w:hanging="851"/>
        <w:jc w:val="both"/>
        <w:rPr>
          <w:rFonts w:ascii="Times New Roman" w:hAnsi="Times New Roman" w:cs="Times New Roman"/>
          <w:noProof/>
          <w:sz w:val="24"/>
          <w:szCs w:val="24"/>
        </w:rPr>
      </w:pPr>
      <w:r w:rsidRPr="001F685B">
        <w:rPr>
          <w:rFonts w:ascii="Times New Roman" w:hAnsi="Times New Roman" w:cs="Times New Roman"/>
          <w:noProof/>
          <w:sz w:val="24"/>
          <w:szCs w:val="24"/>
        </w:rPr>
        <w:t xml:space="preserve">Zhang, M., Guo, Z., Zheng, H., &amp; Zuo, W. (2016). Research on the Innovation of Business Ecosystem Model in China’s 0nline Food Reservation Market at Sharing Economic Era. </w:t>
      </w:r>
      <w:r w:rsidRPr="001F685B">
        <w:rPr>
          <w:rFonts w:ascii="Times New Roman" w:hAnsi="Times New Roman" w:cs="Times New Roman"/>
          <w:i/>
          <w:iCs/>
          <w:noProof/>
          <w:sz w:val="24"/>
          <w:szCs w:val="24"/>
        </w:rPr>
        <w:t>15th Wuhan International Conference on E-Business, WHICEB 2016</w:t>
      </w:r>
      <w:r w:rsidRPr="001F685B">
        <w:rPr>
          <w:rFonts w:ascii="Times New Roman" w:hAnsi="Times New Roman" w:cs="Times New Roman"/>
          <w:noProof/>
          <w:sz w:val="24"/>
          <w:szCs w:val="24"/>
        </w:rPr>
        <w:t>, 78–85.</w:t>
      </w:r>
    </w:p>
    <w:p w14:paraId="1367F92D" w14:textId="73E18310" w:rsidR="001F2A02" w:rsidRPr="0019390E" w:rsidRDefault="009B58E8" w:rsidP="001F685B">
      <w:pPr>
        <w:snapToGrid w:val="0"/>
        <w:spacing w:before="120" w:after="120" w:line="240" w:lineRule="auto"/>
        <w:ind w:left="851" w:hanging="851"/>
        <w:jc w:val="both"/>
        <w:rPr>
          <w:rFonts w:ascii="Times New Roman" w:eastAsia="Times New Roman" w:hAnsi="Times New Roman" w:cs="Times New Roman"/>
          <w:sz w:val="24"/>
          <w:szCs w:val="24"/>
        </w:rPr>
      </w:pPr>
      <w:r w:rsidRPr="001F685B">
        <w:rPr>
          <w:rFonts w:ascii="Times New Roman" w:eastAsia="Times New Roman" w:hAnsi="Times New Roman" w:cs="Times New Roman"/>
          <w:sz w:val="24"/>
          <w:szCs w:val="24"/>
        </w:rPr>
        <w:fldChar w:fldCharType="end"/>
      </w:r>
    </w:p>
    <w:sectPr w:rsidR="001F2A02" w:rsidRPr="0019390E" w:rsidSect="003A4693">
      <w:type w:val="continuous"/>
      <w:pgSz w:w="11906" w:h="16838" w:code="9"/>
      <w:pgMar w:top="1440" w:right="1440" w:bottom="1440" w:left="1440" w:header="708" w:footer="708" w:gutter="0"/>
      <w:pgNumType w:start="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DB87F" w14:textId="77777777" w:rsidR="009029D4" w:rsidRDefault="009029D4" w:rsidP="001301F6">
      <w:pPr>
        <w:spacing w:after="0" w:line="240" w:lineRule="auto"/>
      </w:pPr>
      <w:r>
        <w:separator/>
      </w:r>
    </w:p>
  </w:endnote>
  <w:endnote w:type="continuationSeparator" w:id="0">
    <w:p w14:paraId="2FBCB57A" w14:textId="77777777" w:rsidR="009029D4" w:rsidRDefault="009029D4" w:rsidP="00130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4035851"/>
      <w:docPartObj>
        <w:docPartGallery w:val="Page Numbers (Bottom of Page)"/>
        <w:docPartUnique/>
      </w:docPartObj>
    </w:sdtPr>
    <w:sdtEndPr>
      <w:rPr>
        <w:noProof/>
      </w:rPr>
    </w:sdtEndPr>
    <w:sdtContent>
      <w:p w14:paraId="5FAB3597" w14:textId="77777777" w:rsidR="00BC4334" w:rsidRDefault="00BC433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F607D5" w14:textId="0A70FE37" w:rsidR="00BC4334" w:rsidRPr="001F685B" w:rsidRDefault="00BC4334">
    <w:pPr>
      <w:pStyle w:val="Footer"/>
      <w:rPr>
        <w:rFonts w:ascii="Times New Roman" w:hAnsi="Times New Roman" w:cs="Times New Roman"/>
        <w:i/>
        <w:iCs/>
      </w:rPr>
    </w:pPr>
    <w:bookmarkStart w:id="0" w:name="_Hlk34505728"/>
    <w:bookmarkStart w:id="1" w:name="_Hlk34505729"/>
    <w:r w:rsidRPr="00D17D96">
      <w:rPr>
        <w:rFonts w:ascii="Times New Roman" w:hAnsi="Times New Roman" w:cs="Times New Roman"/>
        <w:i/>
        <w:iCs/>
      </w:rPr>
      <w:t>Copyright © 20</w:t>
    </w:r>
    <w:r>
      <w:rPr>
        <w:rFonts w:ascii="Times New Roman" w:hAnsi="Times New Roman" w:cs="Times New Roman"/>
        <w:i/>
        <w:iCs/>
        <w:lang w:val="id-ID"/>
      </w:rPr>
      <w:t>2</w:t>
    </w:r>
    <w:r w:rsidR="001F685B">
      <w:rPr>
        <w:rFonts w:ascii="Times New Roman" w:hAnsi="Times New Roman" w:cs="Times New Roman"/>
        <w:i/>
        <w:iCs/>
      </w:rPr>
      <w:t>4</w:t>
    </w:r>
    <w:r w:rsidRPr="00D17D96">
      <w:rPr>
        <w:rFonts w:ascii="Times New Roman" w:hAnsi="Times New Roman" w:cs="Times New Roman"/>
        <w:i/>
        <w:iCs/>
      </w:rPr>
      <w:t xml:space="preserve">, Journal </w:t>
    </w:r>
    <w:r>
      <w:rPr>
        <w:rFonts w:ascii="Times New Roman" w:hAnsi="Times New Roman" w:cs="Times New Roman"/>
        <w:i/>
        <w:iCs/>
      </w:rPr>
      <w:t>of Asian Multicultural Research for Economy and Management Study</w:t>
    </w:r>
    <w:r w:rsidRPr="00D17D96">
      <w:rPr>
        <w:rFonts w:ascii="Times New Roman" w:hAnsi="Times New Roman" w:cs="Times New Roman"/>
        <w:i/>
        <w:iCs/>
      </w:rPr>
      <w:t>, Under the license CC BY-SA 4.0</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7E5B7" w14:textId="77777777" w:rsidR="009029D4" w:rsidRDefault="009029D4" w:rsidP="001301F6">
      <w:pPr>
        <w:spacing w:after="0" w:line="240" w:lineRule="auto"/>
      </w:pPr>
      <w:r>
        <w:separator/>
      </w:r>
    </w:p>
  </w:footnote>
  <w:footnote w:type="continuationSeparator" w:id="0">
    <w:p w14:paraId="13051B61" w14:textId="77777777" w:rsidR="009029D4" w:rsidRDefault="009029D4" w:rsidP="001301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75AC9"/>
    <w:multiLevelType w:val="hybridMultilevel"/>
    <w:tmpl w:val="4A006B70"/>
    <w:lvl w:ilvl="0" w:tplc="F08CAD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16562"/>
    <w:multiLevelType w:val="multilevel"/>
    <w:tmpl w:val="FFFFFFFF"/>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201B762A"/>
    <w:multiLevelType w:val="hybridMultilevel"/>
    <w:tmpl w:val="1B2244DA"/>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240E6461"/>
    <w:multiLevelType w:val="hybridMultilevel"/>
    <w:tmpl w:val="341094E6"/>
    <w:lvl w:ilvl="0" w:tplc="F08CAD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5D662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6902B2"/>
    <w:multiLevelType w:val="multilevel"/>
    <w:tmpl w:val="3B3A74D8"/>
    <w:lvl w:ilvl="0">
      <w:start w:val="1"/>
      <w:numFmt w:val="upperRoman"/>
      <w:pStyle w:val="figurecaptio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4116"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3744" w:hanging="3744"/>
      </w:pPr>
    </w:lvl>
    <w:lvl w:ilvl="5">
      <w:start w:val="1"/>
      <w:numFmt w:val="lowerLetter"/>
      <w:lvlText w:val="(%6)"/>
      <w:lvlJc w:val="left"/>
      <w:pPr>
        <w:ind w:left="4464" w:hanging="4464"/>
      </w:pPr>
    </w:lvl>
    <w:lvl w:ilvl="6">
      <w:start w:val="1"/>
      <w:numFmt w:val="lowerRoman"/>
      <w:lvlText w:val="(%7)"/>
      <w:lvlJc w:val="left"/>
      <w:pPr>
        <w:ind w:left="5184" w:hanging="5184"/>
      </w:pPr>
    </w:lvl>
    <w:lvl w:ilvl="7">
      <w:start w:val="1"/>
      <w:numFmt w:val="lowerLetter"/>
      <w:lvlText w:val="(%8)"/>
      <w:lvlJc w:val="left"/>
      <w:pPr>
        <w:ind w:left="5904" w:hanging="5904"/>
      </w:pPr>
    </w:lvl>
    <w:lvl w:ilvl="8">
      <w:start w:val="1"/>
      <w:numFmt w:val="lowerRoman"/>
      <w:lvlText w:val="(%9)"/>
      <w:lvlJc w:val="left"/>
      <w:pPr>
        <w:ind w:left="6624" w:hanging="6624"/>
      </w:pPr>
    </w:lvl>
  </w:abstractNum>
  <w:abstractNum w:abstractNumId="6" w15:restartNumberingAfterBreak="0">
    <w:nsid w:val="3BF72A92"/>
    <w:multiLevelType w:val="hybridMultilevel"/>
    <w:tmpl w:val="EFB6DC56"/>
    <w:lvl w:ilvl="0" w:tplc="04090015">
      <w:start w:val="1"/>
      <w:numFmt w:val="upp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3BA7E81"/>
    <w:multiLevelType w:val="hybridMultilevel"/>
    <w:tmpl w:val="D2C0CB0C"/>
    <w:lvl w:ilvl="0" w:tplc="04210009">
      <w:start w:val="1"/>
      <w:numFmt w:val="bullet"/>
      <w:lvlText w:val=""/>
      <w:lvlJc w:val="left"/>
      <w:pPr>
        <w:ind w:left="1004" w:hanging="360"/>
      </w:pPr>
      <w:rPr>
        <w:rFonts w:ascii="Wingdings" w:hAnsi="Wingding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8" w15:restartNumberingAfterBreak="0">
    <w:nsid w:val="7A0C7A2E"/>
    <w:multiLevelType w:val="hybridMultilevel"/>
    <w:tmpl w:val="7500F088"/>
    <w:lvl w:ilvl="0" w:tplc="F08CAD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5C5953"/>
    <w:multiLevelType w:val="hybridMultilevel"/>
    <w:tmpl w:val="903CEBE0"/>
    <w:lvl w:ilvl="0" w:tplc="8E76B4A6">
      <w:start w:val="1"/>
      <w:numFmt w:val="decimal"/>
      <w:lvlText w:val="%1."/>
      <w:lvlJc w:val="left"/>
      <w:pPr>
        <w:ind w:left="720" w:hanging="360"/>
      </w:pPr>
      <w:rPr>
        <w:rFonts w:ascii="Arial" w:hAnsi="Arial" w:cs="Arial" w:hint="default"/>
        <w:color w:val="auto"/>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7F4B328A"/>
    <w:multiLevelType w:val="hybridMultilevel"/>
    <w:tmpl w:val="2C9473A6"/>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1719893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90446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6212588">
    <w:abstractNumId w:val="4"/>
  </w:num>
  <w:num w:numId="4" w16cid:durableId="1113868795">
    <w:abstractNumId w:val="9"/>
  </w:num>
  <w:num w:numId="5" w16cid:durableId="228881967">
    <w:abstractNumId w:val="7"/>
  </w:num>
  <w:num w:numId="6" w16cid:durableId="548765613">
    <w:abstractNumId w:val="1"/>
  </w:num>
  <w:num w:numId="7" w16cid:durableId="1087967832">
    <w:abstractNumId w:val="10"/>
  </w:num>
  <w:num w:numId="8" w16cid:durableId="1333408063">
    <w:abstractNumId w:val="2"/>
  </w:num>
  <w:num w:numId="9" w16cid:durableId="216280267">
    <w:abstractNumId w:val="5"/>
  </w:num>
  <w:num w:numId="10" w16cid:durableId="584582036">
    <w:abstractNumId w:val="0"/>
  </w:num>
  <w:num w:numId="11" w16cid:durableId="1508789963">
    <w:abstractNumId w:val="3"/>
  </w:num>
  <w:num w:numId="12" w16cid:durableId="9387571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GwNLUAMgyMjY1NjZR0lIJTi4sz8/NACgxrATgMhQAsAAAA"/>
  </w:docVars>
  <w:rsids>
    <w:rsidRoot w:val="007C1121"/>
    <w:rsid w:val="00027C1B"/>
    <w:rsid w:val="00033BFB"/>
    <w:rsid w:val="0004003A"/>
    <w:rsid w:val="00052FCB"/>
    <w:rsid w:val="000670F2"/>
    <w:rsid w:val="00084B2B"/>
    <w:rsid w:val="000D6121"/>
    <w:rsid w:val="000F39E9"/>
    <w:rsid w:val="000F522E"/>
    <w:rsid w:val="001301F6"/>
    <w:rsid w:val="00141308"/>
    <w:rsid w:val="00152485"/>
    <w:rsid w:val="00152767"/>
    <w:rsid w:val="0015525C"/>
    <w:rsid w:val="00167F4A"/>
    <w:rsid w:val="0019390E"/>
    <w:rsid w:val="001A3377"/>
    <w:rsid w:val="001B5BB6"/>
    <w:rsid w:val="001F02E5"/>
    <w:rsid w:val="001F2A02"/>
    <w:rsid w:val="001F685B"/>
    <w:rsid w:val="00206B3F"/>
    <w:rsid w:val="0023486C"/>
    <w:rsid w:val="00270154"/>
    <w:rsid w:val="002A3CF4"/>
    <w:rsid w:val="002B001B"/>
    <w:rsid w:val="002B4BE9"/>
    <w:rsid w:val="002D7003"/>
    <w:rsid w:val="002D7137"/>
    <w:rsid w:val="002F0DAF"/>
    <w:rsid w:val="002F44A7"/>
    <w:rsid w:val="00300C8D"/>
    <w:rsid w:val="0031054C"/>
    <w:rsid w:val="003126A5"/>
    <w:rsid w:val="00362E6C"/>
    <w:rsid w:val="00374548"/>
    <w:rsid w:val="00383F65"/>
    <w:rsid w:val="00394363"/>
    <w:rsid w:val="003A4693"/>
    <w:rsid w:val="003D0473"/>
    <w:rsid w:val="004177B8"/>
    <w:rsid w:val="00425285"/>
    <w:rsid w:val="004712A1"/>
    <w:rsid w:val="004A0210"/>
    <w:rsid w:val="004B75FF"/>
    <w:rsid w:val="004C1F70"/>
    <w:rsid w:val="00543780"/>
    <w:rsid w:val="00555123"/>
    <w:rsid w:val="00566E7B"/>
    <w:rsid w:val="005717F1"/>
    <w:rsid w:val="005857F0"/>
    <w:rsid w:val="00585912"/>
    <w:rsid w:val="005A2852"/>
    <w:rsid w:val="005D666A"/>
    <w:rsid w:val="005E1B12"/>
    <w:rsid w:val="005E32D5"/>
    <w:rsid w:val="005E6907"/>
    <w:rsid w:val="00605CB4"/>
    <w:rsid w:val="00612E99"/>
    <w:rsid w:val="00642C11"/>
    <w:rsid w:val="006449DE"/>
    <w:rsid w:val="00662F4D"/>
    <w:rsid w:val="00676430"/>
    <w:rsid w:val="00683712"/>
    <w:rsid w:val="006C44A7"/>
    <w:rsid w:val="006E5CE1"/>
    <w:rsid w:val="00705C61"/>
    <w:rsid w:val="00710028"/>
    <w:rsid w:val="007271F0"/>
    <w:rsid w:val="00731632"/>
    <w:rsid w:val="00753E94"/>
    <w:rsid w:val="0076257F"/>
    <w:rsid w:val="007633BF"/>
    <w:rsid w:val="007C1121"/>
    <w:rsid w:val="007D2243"/>
    <w:rsid w:val="007D74B8"/>
    <w:rsid w:val="007E22AC"/>
    <w:rsid w:val="007E282D"/>
    <w:rsid w:val="007E2E59"/>
    <w:rsid w:val="007E591E"/>
    <w:rsid w:val="007E7BC2"/>
    <w:rsid w:val="007F48BF"/>
    <w:rsid w:val="008026CD"/>
    <w:rsid w:val="00805796"/>
    <w:rsid w:val="008136F2"/>
    <w:rsid w:val="008178CE"/>
    <w:rsid w:val="008305F0"/>
    <w:rsid w:val="0083269E"/>
    <w:rsid w:val="008366D9"/>
    <w:rsid w:val="00840A07"/>
    <w:rsid w:val="008413A3"/>
    <w:rsid w:val="00847F96"/>
    <w:rsid w:val="0085181E"/>
    <w:rsid w:val="008619FD"/>
    <w:rsid w:val="008724C7"/>
    <w:rsid w:val="00891457"/>
    <w:rsid w:val="0089486A"/>
    <w:rsid w:val="008979B1"/>
    <w:rsid w:val="008A3C03"/>
    <w:rsid w:val="008E5CA3"/>
    <w:rsid w:val="008E66A4"/>
    <w:rsid w:val="009029D4"/>
    <w:rsid w:val="00931D0B"/>
    <w:rsid w:val="00972509"/>
    <w:rsid w:val="009B25B8"/>
    <w:rsid w:val="009B2655"/>
    <w:rsid w:val="009B58E8"/>
    <w:rsid w:val="009C2468"/>
    <w:rsid w:val="009F4DA5"/>
    <w:rsid w:val="00A10522"/>
    <w:rsid w:val="00A61912"/>
    <w:rsid w:val="00A66DB2"/>
    <w:rsid w:val="00A76E00"/>
    <w:rsid w:val="00A90B4E"/>
    <w:rsid w:val="00A91249"/>
    <w:rsid w:val="00AB0EBB"/>
    <w:rsid w:val="00AB77EF"/>
    <w:rsid w:val="00AF02A5"/>
    <w:rsid w:val="00B35B3C"/>
    <w:rsid w:val="00B3689F"/>
    <w:rsid w:val="00B47979"/>
    <w:rsid w:val="00B52EE7"/>
    <w:rsid w:val="00B66A5F"/>
    <w:rsid w:val="00B7771A"/>
    <w:rsid w:val="00BB330A"/>
    <w:rsid w:val="00BB5AB1"/>
    <w:rsid w:val="00BC2544"/>
    <w:rsid w:val="00BC3A19"/>
    <w:rsid w:val="00BC4334"/>
    <w:rsid w:val="00C02B75"/>
    <w:rsid w:val="00C058C9"/>
    <w:rsid w:val="00C1089C"/>
    <w:rsid w:val="00C111A2"/>
    <w:rsid w:val="00C159CE"/>
    <w:rsid w:val="00C3181A"/>
    <w:rsid w:val="00C321EC"/>
    <w:rsid w:val="00C82EC1"/>
    <w:rsid w:val="00CC542C"/>
    <w:rsid w:val="00CE2299"/>
    <w:rsid w:val="00CF110C"/>
    <w:rsid w:val="00CF1C2F"/>
    <w:rsid w:val="00D42F2B"/>
    <w:rsid w:val="00D62E08"/>
    <w:rsid w:val="00D648CB"/>
    <w:rsid w:val="00D65D32"/>
    <w:rsid w:val="00D775DC"/>
    <w:rsid w:val="00DA5F6C"/>
    <w:rsid w:val="00DC15EB"/>
    <w:rsid w:val="00DC3809"/>
    <w:rsid w:val="00DD6FF4"/>
    <w:rsid w:val="00DE2DBF"/>
    <w:rsid w:val="00E03D76"/>
    <w:rsid w:val="00E0693E"/>
    <w:rsid w:val="00E0762D"/>
    <w:rsid w:val="00E4512F"/>
    <w:rsid w:val="00E47DA6"/>
    <w:rsid w:val="00E722E9"/>
    <w:rsid w:val="00E74FE7"/>
    <w:rsid w:val="00EA24A8"/>
    <w:rsid w:val="00EB186A"/>
    <w:rsid w:val="00ED30DB"/>
    <w:rsid w:val="00F03711"/>
    <w:rsid w:val="00F24D3C"/>
    <w:rsid w:val="00F3102D"/>
    <w:rsid w:val="00F43B0C"/>
    <w:rsid w:val="00F46D8E"/>
    <w:rsid w:val="00F6249F"/>
    <w:rsid w:val="00F84E7C"/>
    <w:rsid w:val="00F859EC"/>
    <w:rsid w:val="00F96B39"/>
    <w:rsid w:val="00FB1B5E"/>
    <w:rsid w:val="00FB485D"/>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64C89"/>
  <w15:docId w15:val="{1B71E6C8-C7D0-4E84-853E-CB4B8C6C7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121"/>
    <w:rPr>
      <w:lang w:val="en-US"/>
    </w:rPr>
  </w:style>
  <w:style w:type="paragraph" w:styleId="Heading1">
    <w:name w:val="heading 1"/>
    <w:basedOn w:val="Normal"/>
    <w:next w:val="Normal"/>
    <w:link w:val="Heading1Char"/>
    <w:uiPriority w:val="9"/>
    <w:qFormat/>
    <w:rsid w:val="00DE2DBF"/>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Heading2">
    <w:name w:val="heading 2"/>
    <w:basedOn w:val="Normal"/>
    <w:next w:val="Normal"/>
    <w:link w:val="Heading2Char"/>
    <w:uiPriority w:val="9"/>
    <w:unhideWhenUsed/>
    <w:qFormat/>
    <w:rsid w:val="00DE2DBF"/>
    <w:pPr>
      <w:keepNext/>
      <w:keepLines/>
      <w:spacing w:before="200" w:after="0"/>
      <w:outlineLvl w:val="1"/>
    </w:pPr>
    <w:rPr>
      <w:rFonts w:asciiTheme="majorHAnsi" w:eastAsiaTheme="majorEastAsia" w:hAnsiTheme="majorHAnsi" w:cstheme="majorBidi"/>
      <w:b/>
      <w:bCs/>
      <w:color w:val="0F6FC6" w:themeColor="accent1"/>
      <w:sz w:val="26"/>
      <w:szCs w:val="26"/>
    </w:rPr>
  </w:style>
  <w:style w:type="paragraph" w:styleId="Heading4">
    <w:name w:val="heading 4"/>
    <w:basedOn w:val="Normal"/>
    <w:next w:val="Normal"/>
    <w:link w:val="Heading4Char"/>
    <w:uiPriority w:val="9"/>
    <w:unhideWhenUsed/>
    <w:qFormat/>
    <w:rsid w:val="009B25B8"/>
    <w:pPr>
      <w:keepNext/>
      <w:keepLines/>
      <w:spacing w:before="200" w:after="0"/>
      <w:outlineLvl w:val="3"/>
    </w:pPr>
    <w:rPr>
      <w:rFonts w:asciiTheme="majorHAnsi" w:eastAsiaTheme="majorEastAsia" w:hAnsiTheme="majorHAnsi" w:cstheme="majorBidi"/>
      <w:b/>
      <w:bCs/>
      <w:i/>
      <w:iCs/>
      <w:color w:val="0F6FC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DBF"/>
    <w:rPr>
      <w:rFonts w:asciiTheme="majorHAnsi" w:eastAsiaTheme="majorEastAsia" w:hAnsiTheme="majorHAnsi" w:cstheme="majorBidi"/>
      <w:b/>
      <w:bCs/>
      <w:color w:val="0B5294" w:themeColor="accent1" w:themeShade="BF"/>
      <w:sz w:val="28"/>
      <w:szCs w:val="28"/>
      <w:lang w:val="en-US"/>
    </w:rPr>
  </w:style>
  <w:style w:type="character" w:customStyle="1" w:styleId="Heading2Char">
    <w:name w:val="Heading 2 Char"/>
    <w:basedOn w:val="DefaultParagraphFont"/>
    <w:link w:val="Heading2"/>
    <w:uiPriority w:val="9"/>
    <w:rsid w:val="00DE2DBF"/>
    <w:rPr>
      <w:rFonts w:asciiTheme="majorHAnsi" w:eastAsiaTheme="majorEastAsia" w:hAnsiTheme="majorHAnsi" w:cstheme="majorBidi"/>
      <w:b/>
      <w:bCs/>
      <w:color w:val="0F6FC6" w:themeColor="accent1"/>
      <w:sz w:val="26"/>
      <w:szCs w:val="26"/>
      <w:lang w:val="en-US"/>
    </w:rPr>
  </w:style>
  <w:style w:type="paragraph" w:styleId="ListParagraph">
    <w:name w:val="List Paragraph"/>
    <w:aliases w:val="Body Text Char1,Char Char2,tabel,List Paragraph1,spasi 2 taiiii,skripsi,List Paragraph2,Body of text"/>
    <w:basedOn w:val="Normal"/>
    <w:link w:val="ListParagraphChar"/>
    <w:uiPriority w:val="34"/>
    <w:qFormat/>
    <w:rsid w:val="00DE2DBF"/>
    <w:pPr>
      <w:ind w:left="720"/>
      <w:contextualSpacing/>
    </w:pPr>
  </w:style>
  <w:style w:type="paragraph" w:styleId="NoSpacing">
    <w:name w:val="No Spacing"/>
    <w:link w:val="NoSpacingChar"/>
    <w:uiPriority w:val="1"/>
    <w:qFormat/>
    <w:rsid w:val="00DE2DBF"/>
    <w:pPr>
      <w:spacing w:after="0" w:line="240" w:lineRule="auto"/>
    </w:pPr>
    <w:rPr>
      <w:lang w:val="en-US"/>
    </w:rPr>
  </w:style>
  <w:style w:type="character" w:customStyle="1" w:styleId="NoSpacingChar">
    <w:name w:val="No Spacing Char"/>
    <w:basedOn w:val="DefaultParagraphFont"/>
    <w:link w:val="NoSpacing"/>
    <w:uiPriority w:val="1"/>
    <w:rsid w:val="00DE2DBF"/>
    <w:rPr>
      <w:lang w:val="en-US"/>
    </w:rPr>
  </w:style>
  <w:style w:type="paragraph" w:styleId="BalloonText">
    <w:name w:val="Balloon Text"/>
    <w:basedOn w:val="Normal"/>
    <w:link w:val="BalloonTextChar"/>
    <w:uiPriority w:val="99"/>
    <w:semiHidden/>
    <w:unhideWhenUsed/>
    <w:rsid w:val="007C11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121"/>
    <w:rPr>
      <w:rFonts w:ascii="Tahoma" w:hAnsi="Tahoma" w:cs="Tahoma"/>
      <w:sz w:val="16"/>
      <w:szCs w:val="16"/>
      <w:lang w:val="en-US"/>
    </w:rPr>
  </w:style>
  <w:style w:type="paragraph" w:styleId="NormalWeb">
    <w:name w:val="Normal (Web)"/>
    <w:basedOn w:val="Normal"/>
    <w:uiPriority w:val="99"/>
    <w:unhideWhenUsed/>
    <w:rsid w:val="007C11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9B25B8"/>
    <w:rPr>
      <w:rFonts w:asciiTheme="majorHAnsi" w:eastAsiaTheme="majorEastAsia" w:hAnsiTheme="majorHAnsi" w:cstheme="majorBidi"/>
      <w:b/>
      <w:bCs/>
      <w:i/>
      <w:iCs/>
      <w:color w:val="0F6FC6" w:themeColor="accent1"/>
      <w:lang w:val="en-US"/>
    </w:rPr>
  </w:style>
  <w:style w:type="character" w:styleId="Strong">
    <w:name w:val="Strong"/>
    <w:basedOn w:val="DefaultParagraphFont"/>
    <w:uiPriority w:val="22"/>
    <w:qFormat/>
    <w:rsid w:val="008A3C03"/>
    <w:rPr>
      <w:b/>
      <w:bCs/>
    </w:rPr>
  </w:style>
  <w:style w:type="character" w:styleId="Hyperlink">
    <w:name w:val="Hyperlink"/>
    <w:basedOn w:val="DefaultParagraphFont"/>
    <w:uiPriority w:val="99"/>
    <w:unhideWhenUsed/>
    <w:rsid w:val="0089486A"/>
    <w:rPr>
      <w:color w:val="0000FF"/>
      <w:u w:val="single"/>
    </w:rPr>
  </w:style>
  <w:style w:type="character" w:styleId="Emphasis">
    <w:name w:val="Emphasis"/>
    <w:basedOn w:val="DefaultParagraphFont"/>
    <w:uiPriority w:val="20"/>
    <w:qFormat/>
    <w:rsid w:val="00141308"/>
    <w:rPr>
      <w:i/>
      <w:iCs/>
    </w:rPr>
  </w:style>
  <w:style w:type="paragraph" w:styleId="Header">
    <w:name w:val="header"/>
    <w:basedOn w:val="Normal"/>
    <w:link w:val="HeaderChar"/>
    <w:unhideWhenUsed/>
    <w:rsid w:val="001301F6"/>
    <w:pPr>
      <w:tabs>
        <w:tab w:val="center" w:pos="4513"/>
        <w:tab w:val="right" w:pos="9026"/>
      </w:tabs>
      <w:spacing w:after="0" w:line="240" w:lineRule="auto"/>
    </w:pPr>
  </w:style>
  <w:style w:type="character" w:customStyle="1" w:styleId="HeaderChar">
    <w:name w:val="Header Char"/>
    <w:basedOn w:val="DefaultParagraphFont"/>
    <w:link w:val="Header"/>
    <w:rsid w:val="001301F6"/>
    <w:rPr>
      <w:lang w:val="en-US"/>
    </w:rPr>
  </w:style>
  <w:style w:type="paragraph" w:styleId="Footer">
    <w:name w:val="footer"/>
    <w:basedOn w:val="Normal"/>
    <w:link w:val="FooterChar"/>
    <w:uiPriority w:val="99"/>
    <w:unhideWhenUsed/>
    <w:rsid w:val="001301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1F6"/>
    <w:rPr>
      <w:lang w:val="en-US"/>
    </w:rPr>
  </w:style>
  <w:style w:type="character" w:styleId="UnresolvedMention">
    <w:name w:val="Unresolved Mention"/>
    <w:basedOn w:val="DefaultParagraphFont"/>
    <w:uiPriority w:val="99"/>
    <w:semiHidden/>
    <w:unhideWhenUsed/>
    <w:rsid w:val="009B58E8"/>
    <w:rPr>
      <w:color w:val="605E5C"/>
      <w:shd w:val="clear" w:color="auto" w:fill="E1DFDD"/>
    </w:rPr>
  </w:style>
  <w:style w:type="paragraph" w:customStyle="1" w:styleId="figurecaption">
    <w:name w:val="figure caption"/>
    <w:rsid w:val="009B58E8"/>
    <w:pPr>
      <w:numPr>
        <w:numId w:val="9"/>
      </w:numPr>
      <w:tabs>
        <w:tab w:val="left" w:pos="533"/>
      </w:tabs>
      <w:spacing w:before="80" w:line="240" w:lineRule="auto"/>
      <w:ind w:firstLine="0"/>
      <w:jc w:val="both"/>
    </w:pPr>
    <w:rPr>
      <w:rFonts w:ascii="Times New Roman" w:eastAsia="Times New Roman" w:hAnsi="Times New Roman" w:cs="Times New Roman"/>
      <w:noProof/>
      <w:sz w:val="16"/>
      <w:szCs w:val="16"/>
      <w:lang w:val="en-US" w:eastAsia="en-ID"/>
    </w:rPr>
  </w:style>
  <w:style w:type="character" w:customStyle="1" w:styleId="ListParagraphChar">
    <w:name w:val="List Paragraph Char"/>
    <w:aliases w:val="Body Text Char1 Char,Char Char2 Char,tabel Char,List Paragraph1 Char,spasi 2 taiiii Char,skripsi Char,List Paragraph2 Char,Body of text Char"/>
    <w:link w:val="ListParagraph"/>
    <w:uiPriority w:val="34"/>
    <w:locked/>
    <w:rsid w:val="009B58E8"/>
    <w:rPr>
      <w:lang w:val="en-US"/>
    </w:rPr>
  </w:style>
  <w:style w:type="table" w:styleId="GridTable2-Accent3">
    <w:name w:val="Grid Table 2 Accent 3"/>
    <w:basedOn w:val="TableNormal"/>
    <w:uiPriority w:val="47"/>
    <w:rsid w:val="009B58E8"/>
    <w:pPr>
      <w:spacing w:after="0" w:line="240" w:lineRule="auto"/>
    </w:pPr>
    <w:rPr>
      <w:lang w:val="en-US"/>
    </w:rPr>
    <w:tblPr>
      <w:tblStyleRowBandSize w:val="1"/>
      <w:tblStyleColBandSize w:val="1"/>
      <w:tblBorders>
        <w:top w:val="single" w:sz="2" w:space="0" w:color="5DEFF6" w:themeColor="accent3" w:themeTint="99"/>
        <w:bottom w:val="single" w:sz="2" w:space="0" w:color="5DEFF6" w:themeColor="accent3" w:themeTint="99"/>
        <w:insideH w:val="single" w:sz="2" w:space="0" w:color="5DEFF6" w:themeColor="accent3" w:themeTint="99"/>
        <w:insideV w:val="single" w:sz="2" w:space="0" w:color="5DEFF6" w:themeColor="accent3" w:themeTint="99"/>
      </w:tblBorders>
    </w:tblPr>
    <w:tblStylePr w:type="firstRow">
      <w:rPr>
        <w:b/>
        <w:bCs/>
      </w:rPr>
      <w:tblPr/>
      <w:tcPr>
        <w:tcBorders>
          <w:top w:val="nil"/>
          <w:bottom w:val="single" w:sz="12" w:space="0" w:color="5DEFF6" w:themeColor="accent3" w:themeTint="99"/>
          <w:insideH w:val="nil"/>
          <w:insideV w:val="nil"/>
        </w:tcBorders>
        <w:shd w:val="clear" w:color="auto" w:fill="FFFFFF" w:themeFill="background1"/>
      </w:tcPr>
    </w:tblStylePr>
    <w:tblStylePr w:type="lastRow">
      <w:rPr>
        <w:b/>
        <w:bCs/>
      </w:rPr>
      <w:tblPr/>
      <w:tcPr>
        <w:tcBorders>
          <w:top w:val="double" w:sz="2" w:space="0" w:color="5DEFF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TableGrid">
    <w:name w:val="Table Grid"/>
    <w:basedOn w:val="TableNormal"/>
    <w:uiPriority w:val="39"/>
    <w:rsid w:val="009B58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53E94"/>
    <w:rPr>
      <w:sz w:val="16"/>
      <w:szCs w:val="16"/>
    </w:rPr>
  </w:style>
  <w:style w:type="paragraph" w:styleId="CommentText">
    <w:name w:val="annotation text"/>
    <w:basedOn w:val="Normal"/>
    <w:link w:val="CommentTextChar"/>
    <w:uiPriority w:val="99"/>
    <w:semiHidden/>
    <w:unhideWhenUsed/>
    <w:rsid w:val="00753E94"/>
    <w:pPr>
      <w:spacing w:line="240" w:lineRule="auto"/>
    </w:pPr>
    <w:rPr>
      <w:sz w:val="20"/>
      <w:szCs w:val="20"/>
    </w:rPr>
  </w:style>
  <w:style w:type="character" w:customStyle="1" w:styleId="CommentTextChar">
    <w:name w:val="Comment Text Char"/>
    <w:basedOn w:val="DefaultParagraphFont"/>
    <w:link w:val="CommentText"/>
    <w:uiPriority w:val="99"/>
    <w:semiHidden/>
    <w:rsid w:val="00753E94"/>
    <w:rPr>
      <w:sz w:val="20"/>
      <w:szCs w:val="20"/>
      <w:lang w:val="en-US"/>
    </w:rPr>
  </w:style>
  <w:style w:type="paragraph" w:styleId="CommentSubject">
    <w:name w:val="annotation subject"/>
    <w:basedOn w:val="CommentText"/>
    <w:next w:val="CommentText"/>
    <w:link w:val="CommentSubjectChar"/>
    <w:uiPriority w:val="99"/>
    <w:semiHidden/>
    <w:unhideWhenUsed/>
    <w:rsid w:val="00753E94"/>
    <w:rPr>
      <w:b/>
      <w:bCs/>
    </w:rPr>
  </w:style>
  <w:style w:type="character" w:customStyle="1" w:styleId="CommentSubjectChar">
    <w:name w:val="Comment Subject Char"/>
    <w:basedOn w:val="CommentTextChar"/>
    <w:link w:val="CommentSubject"/>
    <w:uiPriority w:val="99"/>
    <w:semiHidden/>
    <w:rsid w:val="00753E94"/>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4863">
      <w:bodyDiv w:val="1"/>
      <w:marLeft w:val="0"/>
      <w:marRight w:val="0"/>
      <w:marTop w:val="0"/>
      <w:marBottom w:val="0"/>
      <w:divBdr>
        <w:top w:val="none" w:sz="0" w:space="0" w:color="auto"/>
        <w:left w:val="none" w:sz="0" w:space="0" w:color="auto"/>
        <w:bottom w:val="none" w:sz="0" w:space="0" w:color="auto"/>
        <w:right w:val="none" w:sz="0" w:space="0" w:color="auto"/>
      </w:divBdr>
      <w:divsChild>
        <w:div w:id="1136945963">
          <w:marLeft w:val="0"/>
          <w:marRight w:val="0"/>
          <w:marTop w:val="0"/>
          <w:marBottom w:val="0"/>
          <w:divBdr>
            <w:top w:val="none" w:sz="0" w:space="0" w:color="auto"/>
            <w:left w:val="none" w:sz="0" w:space="0" w:color="auto"/>
            <w:bottom w:val="none" w:sz="0" w:space="0" w:color="auto"/>
            <w:right w:val="none" w:sz="0" w:space="0" w:color="auto"/>
          </w:divBdr>
        </w:div>
      </w:divsChild>
    </w:div>
    <w:div w:id="177281554">
      <w:bodyDiv w:val="1"/>
      <w:marLeft w:val="0"/>
      <w:marRight w:val="0"/>
      <w:marTop w:val="0"/>
      <w:marBottom w:val="0"/>
      <w:divBdr>
        <w:top w:val="none" w:sz="0" w:space="0" w:color="auto"/>
        <w:left w:val="none" w:sz="0" w:space="0" w:color="auto"/>
        <w:bottom w:val="none" w:sz="0" w:space="0" w:color="auto"/>
        <w:right w:val="none" w:sz="0" w:space="0" w:color="auto"/>
      </w:divBdr>
    </w:div>
    <w:div w:id="188876001">
      <w:bodyDiv w:val="1"/>
      <w:marLeft w:val="0"/>
      <w:marRight w:val="0"/>
      <w:marTop w:val="0"/>
      <w:marBottom w:val="0"/>
      <w:divBdr>
        <w:top w:val="none" w:sz="0" w:space="0" w:color="auto"/>
        <w:left w:val="none" w:sz="0" w:space="0" w:color="auto"/>
        <w:bottom w:val="none" w:sz="0" w:space="0" w:color="auto"/>
        <w:right w:val="none" w:sz="0" w:space="0" w:color="auto"/>
      </w:divBdr>
    </w:div>
    <w:div w:id="281881500">
      <w:bodyDiv w:val="1"/>
      <w:marLeft w:val="0"/>
      <w:marRight w:val="0"/>
      <w:marTop w:val="0"/>
      <w:marBottom w:val="0"/>
      <w:divBdr>
        <w:top w:val="none" w:sz="0" w:space="0" w:color="auto"/>
        <w:left w:val="none" w:sz="0" w:space="0" w:color="auto"/>
        <w:bottom w:val="none" w:sz="0" w:space="0" w:color="auto"/>
        <w:right w:val="none" w:sz="0" w:space="0" w:color="auto"/>
      </w:divBdr>
    </w:div>
    <w:div w:id="302664047">
      <w:bodyDiv w:val="1"/>
      <w:marLeft w:val="0"/>
      <w:marRight w:val="0"/>
      <w:marTop w:val="0"/>
      <w:marBottom w:val="0"/>
      <w:divBdr>
        <w:top w:val="none" w:sz="0" w:space="0" w:color="auto"/>
        <w:left w:val="none" w:sz="0" w:space="0" w:color="auto"/>
        <w:bottom w:val="none" w:sz="0" w:space="0" w:color="auto"/>
        <w:right w:val="none" w:sz="0" w:space="0" w:color="auto"/>
      </w:divBdr>
    </w:div>
    <w:div w:id="424767800">
      <w:bodyDiv w:val="1"/>
      <w:marLeft w:val="0"/>
      <w:marRight w:val="0"/>
      <w:marTop w:val="0"/>
      <w:marBottom w:val="0"/>
      <w:divBdr>
        <w:top w:val="none" w:sz="0" w:space="0" w:color="auto"/>
        <w:left w:val="none" w:sz="0" w:space="0" w:color="auto"/>
        <w:bottom w:val="none" w:sz="0" w:space="0" w:color="auto"/>
        <w:right w:val="none" w:sz="0" w:space="0" w:color="auto"/>
      </w:divBdr>
    </w:div>
    <w:div w:id="446966144">
      <w:bodyDiv w:val="1"/>
      <w:marLeft w:val="0"/>
      <w:marRight w:val="0"/>
      <w:marTop w:val="0"/>
      <w:marBottom w:val="0"/>
      <w:divBdr>
        <w:top w:val="none" w:sz="0" w:space="0" w:color="auto"/>
        <w:left w:val="none" w:sz="0" w:space="0" w:color="auto"/>
        <w:bottom w:val="none" w:sz="0" w:space="0" w:color="auto"/>
        <w:right w:val="none" w:sz="0" w:space="0" w:color="auto"/>
      </w:divBdr>
    </w:div>
    <w:div w:id="449132619">
      <w:bodyDiv w:val="1"/>
      <w:marLeft w:val="0"/>
      <w:marRight w:val="0"/>
      <w:marTop w:val="0"/>
      <w:marBottom w:val="0"/>
      <w:divBdr>
        <w:top w:val="none" w:sz="0" w:space="0" w:color="auto"/>
        <w:left w:val="none" w:sz="0" w:space="0" w:color="auto"/>
        <w:bottom w:val="none" w:sz="0" w:space="0" w:color="auto"/>
        <w:right w:val="none" w:sz="0" w:space="0" w:color="auto"/>
      </w:divBdr>
    </w:div>
    <w:div w:id="501895681">
      <w:bodyDiv w:val="1"/>
      <w:marLeft w:val="0"/>
      <w:marRight w:val="0"/>
      <w:marTop w:val="0"/>
      <w:marBottom w:val="0"/>
      <w:divBdr>
        <w:top w:val="none" w:sz="0" w:space="0" w:color="auto"/>
        <w:left w:val="none" w:sz="0" w:space="0" w:color="auto"/>
        <w:bottom w:val="none" w:sz="0" w:space="0" w:color="auto"/>
        <w:right w:val="none" w:sz="0" w:space="0" w:color="auto"/>
      </w:divBdr>
    </w:div>
    <w:div w:id="587345121">
      <w:bodyDiv w:val="1"/>
      <w:marLeft w:val="0"/>
      <w:marRight w:val="0"/>
      <w:marTop w:val="0"/>
      <w:marBottom w:val="0"/>
      <w:divBdr>
        <w:top w:val="none" w:sz="0" w:space="0" w:color="auto"/>
        <w:left w:val="none" w:sz="0" w:space="0" w:color="auto"/>
        <w:bottom w:val="none" w:sz="0" w:space="0" w:color="auto"/>
        <w:right w:val="none" w:sz="0" w:space="0" w:color="auto"/>
      </w:divBdr>
    </w:div>
    <w:div w:id="592859495">
      <w:bodyDiv w:val="1"/>
      <w:marLeft w:val="0"/>
      <w:marRight w:val="0"/>
      <w:marTop w:val="0"/>
      <w:marBottom w:val="0"/>
      <w:divBdr>
        <w:top w:val="none" w:sz="0" w:space="0" w:color="auto"/>
        <w:left w:val="none" w:sz="0" w:space="0" w:color="auto"/>
        <w:bottom w:val="none" w:sz="0" w:space="0" w:color="auto"/>
        <w:right w:val="none" w:sz="0" w:space="0" w:color="auto"/>
      </w:divBdr>
    </w:div>
    <w:div w:id="614139092">
      <w:bodyDiv w:val="1"/>
      <w:marLeft w:val="0"/>
      <w:marRight w:val="0"/>
      <w:marTop w:val="0"/>
      <w:marBottom w:val="0"/>
      <w:divBdr>
        <w:top w:val="none" w:sz="0" w:space="0" w:color="auto"/>
        <w:left w:val="none" w:sz="0" w:space="0" w:color="auto"/>
        <w:bottom w:val="none" w:sz="0" w:space="0" w:color="auto"/>
        <w:right w:val="none" w:sz="0" w:space="0" w:color="auto"/>
      </w:divBdr>
    </w:div>
    <w:div w:id="620913992">
      <w:bodyDiv w:val="1"/>
      <w:marLeft w:val="0"/>
      <w:marRight w:val="0"/>
      <w:marTop w:val="0"/>
      <w:marBottom w:val="0"/>
      <w:divBdr>
        <w:top w:val="none" w:sz="0" w:space="0" w:color="auto"/>
        <w:left w:val="none" w:sz="0" w:space="0" w:color="auto"/>
        <w:bottom w:val="none" w:sz="0" w:space="0" w:color="auto"/>
        <w:right w:val="none" w:sz="0" w:space="0" w:color="auto"/>
      </w:divBdr>
    </w:div>
    <w:div w:id="681705769">
      <w:bodyDiv w:val="1"/>
      <w:marLeft w:val="0"/>
      <w:marRight w:val="0"/>
      <w:marTop w:val="0"/>
      <w:marBottom w:val="0"/>
      <w:divBdr>
        <w:top w:val="none" w:sz="0" w:space="0" w:color="auto"/>
        <w:left w:val="none" w:sz="0" w:space="0" w:color="auto"/>
        <w:bottom w:val="none" w:sz="0" w:space="0" w:color="auto"/>
        <w:right w:val="none" w:sz="0" w:space="0" w:color="auto"/>
      </w:divBdr>
    </w:div>
    <w:div w:id="682903678">
      <w:bodyDiv w:val="1"/>
      <w:marLeft w:val="0"/>
      <w:marRight w:val="0"/>
      <w:marTop w:val="0"/>
      <w:marBottom w:val="0"/>
      <w:divBdr>
        <w:top w:val="none" w:sz="0" w:space="0" w:color="auto"/>
        <w:left w:val="none" w:sz="0" w:space="0" w:color="auto"/>
        <w:bottom w:val="none" w:sz="0" w:space="0" w:color="auto"/>
        <w:right w:val="none" w:sz="0" w:space="0" w:color="auto"/>
      </w:divBdr>
      <w:divsChild>
        <w:div w:id="10887018">
          <w:marLeft w:val="0"/>
          <w:marRight w:val="0"/>
          <w:marTop w:val="0"/>
          <w:marBottom w:val="0"/>
          <w:divBdr>
            <w:top w:val="none" w:sz="0" w:space="0" w:color="auto"/>
            <w:left w:val="none" w:sz="0" w:space="0" w:color="auto"/>
            <w:bottom w:val="none" w:sz="0" w:space="0" w:color="auto"/>
            <w:right w:val="none" w:sz="0" w:space="0" w:color="auto"/>
          </w:divBdr>
        </w:div>
      </w:divsChild>
    </w:div>
    <w:div w:id="782573590">
      <w:bodyDiv w:val="1"/>
      <w:marLeft w:val="0"/>
      <w:marRight w:val="0"/>
      <w:marTop w:val="0"/>
      <w:marBottom w:val="0"/>
      <w:divBdr>
        <w:top w:val="none" w:sz="0" w:space="0" w:color="auto"/>
        <w:left w:val="none" w:sz="0" w:space="0" w:color="auto"/>
        <w:bottom w:val="none" w:sz="0" w:space="0" w:color="auto"/>
        <w:right w:val="none" w:sz="0" w:space="0" w:color="auto"/>
      </w:divBdr>
    </w:div>
    <w:div w:id="812867810">
      <w:bodyDiv w:val="1"/>
      <w:marLeft w:val="0"/>
      <w:marRight w:val="0"/>
      <w:marTop w:val="0"/>
      <w:marBottom w:val="0"/>
      <w:divBdr>
        <w:top w:val="none" w:sz="0" w:space="0" w:color="auto"/>
        <w:left w:val="none" w:sz="0" w:space="0" w:color="auto"/>
        <w:bottom w:val="none" w:sz="0" w:space="0" w:color="auto"/>
        <w:right w:val="none" w:sz="0" w:space="0" w:color="auto"/>
      </w:divBdr>
    </w:div>
    <w:div w:id="821434122">
      <w:bodyDiv w:val="1"/>
      <w:marLeft w:val="0"/>
      <w:marRight w:val="0"/>
      <w:marTop w:val="0"/>
      <w:marBottom w:val="0"/>
      <w:divBdr>
        <w:top w:val="none" w:sz="0" w:space="0" w:color="auto"/>
        <w:left w:val="none" w:sz="0" w:space="0" w:color="auto"/>
        <w:bottom w:val="none" w:sz="0" w:space="0" w:color="auto"/>
        <w:right w:val="none" w:sz="0" w:space="0" w:color="auto"/>
      </w:divBdr>
    </w:div>
    <w:div w:id="843517702">
      <w:bodyDiv w:val="1"/>
      <w:marLeft w:val="0"/>
      <w:marRight w:val="0"/>
      <w:marTop w:val="0"/>
      <w:marBottom w:val="0"/>
      <w:divBdr>
        <w:top w:val="none" w:sz="0" w:space="0" w:color="auto"/>
        <w:left w:val="none" w:sz="0" w:space="0" w:color="auto"/>
        <w:bottom w:val="none" w:sz="0" w:space="0" w:color="auto"/>
        <w:right w:val="none" w:sz="0" w:space="0" w:color="auto"/>
      </w:divBdr>
    </w:div>
    <w:div w:id="1016074781">
      <w:bodyDiv w:val="1"/>
      <w:marLeft w:val="0"/>
      <w:marRight w:val="0"/>
      <w:marTop w:val="0"/>
      <w:marBottom w:val="0"/>
      <w:divBdr>
        <w:top w:val="none" w:sz="0" w:space="0" w:color="auto"/>
        <w:left w:val="none" w:sz="0" w:space="0" w:color="auto"/>
        <w:bottom w:val="none" w:sz="0" w:space="0" w:color="auto"/>
        <w:right w:val="none" w:sz="0" w:space="0" w:color="auto"/>
      </w:divBdr>
    </w:div>
    <w:div w:id="1016732720">
      <w:bodyDiv w:val="1"/>
      <w:marLeft w:val="0"/>
      <w:marRight w:val="0"/>
      <w:marTop w:val="0"/>
      <w:marBottom w:val="0"/>
      <w:divBdr>
        <w:top w:val="none" w:sz="0" w:space="0" w:color="auto"/>
        <w:left w:val="none" w:sz="0" w:space="0" w:color="auto"/>
        <w:bottom w:val="none" w:sz="0" w:space="0" w:color="auto"/>
        <w:right w:val="none" w:sz="0" w:space="0" w:color="auto"/>
      </w:divBdr>
    </w:div>
    <w:div w:id="1083531644">
      <w:bodyDiv w:val="1"/>
      <w:marLeft w:val="0"/>
      <w:marRight w:val="0"/>
      <w:marTop w:val="0"/>
      <w:marBottom w:val="0"/>
      <w:divBdr>
        <w:top w:val="none" w:sz="0" w:space="0" w:color="auto"/>
        <w:left w:val="none" w:sz="0" w:space="0" w:color="auto"/>
        <w:bottom w:val="none" w:sz="0" w:space="0" w:color="auto"/>
        <w:right w:val="none" w:sz="0" w:space="0" w:color="auto"/>
      </w:divBdr>
    </w:div>
    <w:div w:id="1122575526">
      <w:bodyDiv w:val="1"/>
      <w:marLeft w:val="0"/>
      <w:marRight w:val="0"/>
      <w:marTop w:val="0"/>
      <w:marBottom w:val="0"/>
      <w:divBdr>
        <w:top w:val="none" w:sz="0" w:space="0" w:color="auto"/>
        <w:left w:val="none" w:sz="0" w:space="0" w:color="auto"/>
        <w:bottom w:val="none" w:sz="0" w:space="0" w:color="auto"/>
        <w:right w:val="none" w:sz="0" w:space="0" w:color="auto"/>
      </w:divBdr>
    </w:div>
    <w:div w:id="1180975140">
      <w:bodyDiv w:val="1"/>
      <w:marLeft w:val="0"/>
      <w:marRight w:val="0"/>
      <w:marTop w:val="0"/>
      <w:marBottom w:val="0"/>
      <w:divBdr>
        <w:top w:val="none" w:sz="0" w:space="0" w:color="auto"/>
        <w:left w:val="none" w:sz="0" w:space="0" w:color="auto"/>
        <w:bottom w:val="none" w:sz="0" w:space="0" w:color="auto"/>
        <w:right w:val="none" w:sz="0" w:space="0" w:color="auto"/>
      </w:divBdr>
    </w:div>
    <w:div w:id="1181430539">
      <w:bodyDiv w:val="1"/>
      <w:marLeft w:val="0"/>
      <w:marRight w:val="0"/>
      <w:marTop w:val="0"/>
      <w:marBottom w:val="0"/>
      <w:divBdr>
        <w:top w:val="none" w:sz="0" w:space="0" w:color="auto"/>
        <w:left w:val="none" w:sz="0" w:space="0" w:color="auto"/>
        <w:bottom w:val="none" w:sz="0" w:space="0" w:color="auto"/>
        <w:right w:val="none" w:sz="0" w:space="0" w:color="auto"/>
      </w:divBdr>
    </w:div>
    <w:div w:id="1193226692">
      <w:bodyDiv w:val="1"/>
      <w:marLeft w:val="0"/>
      <w:marRight w:val="0"/>
      <w:marTop w:val="0"/>
      <w:marBottom w:val="0"/>
      <w:divBdr>
        <w:top w:val="none" w:sz="0" w:space="0" w:color="auto"/>
        <w:left w:val="none" w:sz="0" w:space="0" w:color="auto"/>
        <w:bottom w:val="none" w:sz="0" w:space="0" w:color="auto"/>
        <w:right w:val="none" w:sz="0" w:space="0" w:color="auto"/>
      </w:divBdr>
    </w:div>
    <w:div w:id="1193805823">
      <w:bodyDiv w:val="1"/>
      <w:marLeft w:val="0"/>
      <w:marRight w:val="0"/>
      <w:marTop w:val="0"/>
      <w:marBottom w:val="0"/>
      <w:divBdr>
        <w:top w:val="none" w:sz="0" w:space="0" w:color="auto"/>
        <w:left w:val="none" w:sz="0" w:space="0" w:color="auto"/>
        <w:bottom w:val="none" w:sz="0" w:space="0" w:color="auto"/>
        <w:right w:val="none" w:sz="0" w:space="0" w:color="auto"/>
      </w:divBdr>
    </w:div>
    <w:div w:id="1238635452">
      <w:bodyDiv w:val="1"/>
      <w:marLeft w:val="0"/>
      <w:marRight w:val="0"/>
      <w:marTop w:val="0"/>
      <w:marBottom w:val="0"/>
      <w:divBdr>
        <w:top w:val="none" w:sz="0" w:space="0" w:color="auto"/>
        <w:left w:val="none" w:sz="0" w:space="0" w:color="auto"/>
        <w:bottom w:val="none" w:sz="0" w:space="0" w:color="auto"/>
        <w:right w:val="none" w:sz="0" w:space="0" w:color="auto"/>
      </w:divBdr>
    </w:div>
    <w:div w:id="1243443626">
      <w:bodyDiv w:val="1"/>
      <w:marLeft w:val="0"/>
      <w:marRight w:val="0"/>
      <w:marTop w:val="0"/>
      <w:marBottom w:val="0"/>
      <w:divBdr>
        <w:top w:val="none" w:sz="0" w:space="0" w:color="auto"/>
        <w:left w:val="none" w:sz="0" w:space="0" w:color="auto"/>
        <w:bottom w:val="none" w:sz="0" w:space="0" w:color="auto"/>
        <w:right w:val="none" w:sz="0" w:space="0" w:color="auto"/>
      </w:divBdr>
    </w:div>
    <w:div w:id="1271089377">
      <w:bodyDiv w:val="1"/>
      <w:marLeft w:val="0"/>
      <w:marRight w:val="0"/>
      <w:marTop w:val="0"/>
      <w:marBottom w:val="0"/>
      <w:divBdr>
        <w:top w:val="none" w:sz="0" w:space="0" w:color="auto"/>
        <w:left w:val="none" w:sz="0" w:space="0" w:color="auto"/>
        <w:bottom w:val="none" w:sz="0" w:space="0" w:color="auto"/>
        <w:right w:val="none" w:sz="0" w:space="0" w:color="auto"/>
      </w:divBdr>
    </w:div>
    <w:div w:id="1276477309">
      <w:bodyDiv w:val="1"/>
      <w:marLeft w:val="0"/>
      <w:marRight w:val="0"/>
      <w:marTop w:val="0"/>
      <w:marBottom w:val="0"/>
      <w:divBdr>
        <w:top w:val="none" w:sz="0" w:space="0" w:color="auto"/>
        <w:left w:val="none" w:sz="0" w:space="0" w:color="auto"/>
        <w:bottom w:val="none" w:sz="0" w:space="0" w:color="auto"/>
        <w:right w:val="none" w:sz="0" w:space="0" w:color="auto"/>
      </w:divBdr>
    </w:div>
    <w:div w:id="1332876411">
      <w:bodyDiv w:val="1"/>
      <w:marLeft w:val="0"/>
      <w:marRight w:val="0"/>
      <w:marTop w:val="0"/>
      <w:marBottom w:val="0"/>
      <w:divBdr>
        <w:top w:val="none" w:sz="0" w:space="0" w:color="auto"/>
        <w:left w:val="none" w:sz="0" w:space="0" w:color="auto"/>
        <w:bottom w:val="none" w:sz="0" w:space="0" w:color="auto"/>
        <w:right w:val="none" w:sz="0" w:space="0" w:color="auto"/>
      </w:divBdr>
      <w:divsChild>
        <w:div w:id="1974938582">
          <w:marLeft w:val="0"/>
          <w:marRight w:val="0"/>
          <w:marTop w:val="0"/>
          <w:marBottom w:val="0"/>
          <w:divBdr>
            <w:top w:val="none" w:sz="0" w:space="0" w:color="auto"/>
            <w:left w:val="none" w:sz="0" w:space="0" w:color="auto"/>
            <w:bottom w:val="none" w:sz="0" w:space="0" w:color="auto"/>
            <w:right w:val="none" w:sz="0" w:space="0" w:color="auto"/>
          </w:divBdr>
        </w:div>
      </w:divsChild>
    </w:div>
    <w:div w:id="1347949796">
      <w:bodyDiv w:val="1"/>
      <w:marLeft w:val="0"/>
      <w:marRight w:val="0"/>
      <w:marTop w:val="0"/>
      <w:marBottom w:val="0"/>
      <w:divBdr>
        <w:top w:val="none" w:sz="0" w:space="0" w:color="auto"/>
        <w:left w:val="none" w:sz="0" w:space="0" w:color="auto"/>
        <w:bottom w:val="none" w:sz="0" w:space="0" w:color="auto"/>
        <w:right w:val="none" w:sz="0" w:space="0" w:color="auto"/>
      </w:divBdr>
    </w:div>
    <w:div w:id="1369142868">
      <w:bodyDiv w:val="1"/>
      <w:marLeft w:val="0"/>
      <w:marRight w:val="0"/>
      <w:marTop w:val="0"/>
      <w:marBottom w:val="0"/>
      <w:divBdr>
        <w:top w:val="none" w:sz="0" w:space="0" w:color="auto"/>
        <w:left w:val="none" w:sz="0" w:space="0" w:color="auto"/>
        <w:bottom w:val="none" w:sz="0" w:space="0" w:color="auto"/>
        <w:right w:val="none" w:sz="0" w:space="0" w:color="auto"/>
      </w:divBdr>
      <w:divsChild>
        <w:div w:id="256402167">
          <w:marLeft w:val="0"/>
          <w:marRight w:val="0"/>
          <w:marTop w:val="0"/>
          <w:marBottom w:val="0"/>
          <w:divBdr>
            <w:top w:val="none" w:sz="0" w:space="0" w:color="auto"/>
            <w:left w:val="none" w:sz="0" w:space="0" w:color="auto"/>
            <w:bottom w:val="none" w:sz="0" w:space="0" w:color="auto"/>
            <w:right w:val="none" w:sz="0" w:space="0" w:color="auto"/>
          </w:divBdr>
        </w:div>
      </w:divsChild>
    </w:div>
    <w:div w:id="1448622185">
      <w:bodyDiv w:val="1"/>
      <w:marLeft w:val="0"/>
      <w:marRight w:val="0"/>
      <w:marTop w:val="0"/>
      <w:marBottom w:val="0"/>
      <w:divBdr>
        <w:top w:val="none" w:sz="0" w:space="0" w:color="auto"/>
        <w:left w:val="none" w:sz="0" w:space="0" w:color="auto"/>
        <w:bottom w:val="none" w:sz="0" w:space="0" w:color="auto"/>
        <w:right w:val="none" w:sz="0" w:space="0" w:color="auto"/>
      </w:divBdr>
    </w:div>
    <w:div w:id="1472943712">
      <w:bodyDiv w:val="1"/>
      <w:marLeft w:val="0"/>
      <w:marRight w:val="0"/>
      <w:marTop w:val="0"/>
      <w:marBottom w:val="0"/>
      <w:divBdr>
        <w:top w:val="none" w:sz="0" w:space="0" w:color="auto"/>
        <w:left w:val="none" w:sz="0" w:space="0" w:color="auto"/>
        <w:bottom w:val="none" w:sz="0" w:space="0" w:color="auto"/>
        <w:right w:val="none" w:sz="0" w:space="0" w:color="auto"/>
      </w:divBdr>
    </w:div>
    <w:div w:id="1488209493">
      <w:bodyDiv w:val="1"/>
      <w:marLeft w:val="0"/>
      <w:marRight w:val="0"/>
      <w:marTop w:val="0"/>
      <w:marBottom w:val="0"/>
      <w:divBdr>
        <w:top w:val="none" w:sz="0" w:space="0" w:color="auto"/>
        <w:left w:val="none" w:sz="0" w:space="0" w:color="auto"/>
        <w:bottom w:val="none" w:sz="0" w:space="0" w:color="auto"/>
        <w:right w:val="none" w:sz="0" w:space="0" w:color="auto"/>
      </w:divBdr>
      <w:divsChild>
        <w:div w:id="163664817">
          <w:marLeft w:val="0"/>
          <w:marRight w:val="0"/>
          <w:marTop w:val="0"/>
          <w:marBottom w:val="0"/>
          <w:divBdr>
            <w:top w:val="none" w:sz="0" w:space="0" w:color="auto"/>
            <w:left w:val="none" w:sz="0" w:space="0" w:color="auto"/>
            <w:bottom w:val="none" w:sz="0" w:space="0" w:color="auto"/>
            <w:right w:val="none" w:sz="0" w:space="0" w:color="auto"/>
          </w:divBdr>
        </w:div>
      </w:divsChild>
    </w:div>
    <w:div w:id="1515336943">
      <w:bodyDiv w:val="1"/>
      <w:marLeft w:val="0"/>
      <w:marRight w:val="0"/>
      <w:marTop w:val="0"/>
      <w:marBottom w:val="0"/>
      <w:divBdr>
        <w:top w:val="none" w:sz="0" w:space="0" w:color="auto"/>
        <w:left w:val="none" w:sz="0" w:space="0" w:color="auto"/>
        <w:bottom w:val="none" w:sz="0" w:space="0" w:color="auto"/>
        <w:right w:val="none" w:sz="0" w:space="0" w:color="auto"/>
      </w:divBdr>
    </w:div>
    <w:div w:id="1563365928">
      <w:bodyDiv w:val="1"/>
      <w:marLeft w:val="0"/>
      <w:marRight w:val="0"/>
      <w:marTop w:val="0"/>
      <w:marBottom w:val="0"/>
      <w:divBdr>
        <w:top w:val="none" w:sz="0" w:space="0" w:color="auto"/>
        <w:left w:val="none" w:sz="0" w:space="0" w:color="auto"/>
        <w:bottom w:val="none" w:sz="0" w:space="0" w:color="auto"/>
        <w:right w:val="none" w:sz="0" w:space="0" w:color="auto"/>
      </w:divBdr>
    </w:div>
    <w:div w:id="1631089883">
      <w:bodyDiv w:val="1"/>
      <w:marLeft w:val="0"/>
      <w:marRight w:val="0"/>
      <w:marTop w:val="0"/>
      <w:marBottom w:val="0"/>
      <w:divBdr>
        <w:top w:val="none" w:sz="0" w:space="0" w:color="auto"/>
        <w:left w:val="none" w:sz="0" w:space="0" w:color="auto"/>
        <w:bottom w:val="none" w:sz="0" w:space="0" w:color="auto"/>
        <w:right w:val="none" w:sz="0" w:space="0" w:color="auto"/>
      </w:divBdr>
      <w:divsChild>
        <w:div w:id="286083617">
          <w:marLeft w:val="0"/>
          <w:marRight w:val="0"/>
          <w:marTop w:val="0"/>
          <w:marBottom w:val="0"/>
          <w:divBdr>
            <w:top w:val="none" w:sz="0" w:space="0" w:color="auto"/>
            <w:left w:val="none" w:sz="0" w:space="0" w:color="auto"/>
            <w:bottom w:val="none" w:sz="0" w:space="0" w:color="auto"/>
            <w:right w:val="none" w:sz="0" w:space="0" w:color="auto"/>
          </w:divBdr>
        </w:div>
      </w:divsChild>
    </w:div>
    <w:div w:id="1754937993">
      <w:bodyDiv w:val="1"/>
      <w:marLeft w:val="0"/>
      <w:marRight w:val="0"/>
      <w:marTop w:val="0"/>
      <w:marBottom w:val="0"/>
      <w:divBdr>
        <w:top w:val="none" w:sz="0" w:space="0" w:color="auto"/>
        <w:left w:val="none" w:sz="0" w:space="0" w:color="auto"/>
        <w:bottom w:val="none" w:sz="0" w:space="0" w:color="auto"/>
        <w:right w:val="none" w:sz="0" w:space="0" w:color="auto"/>
      </w:divBdr>
      <w:divsChild>
        <w:div w:id="896161594">
          <w:marLeft w:val="0"/>
          <w:marRight w:val="0"/>
          <w:marTop w:val="0"/>
          <w:marBottom w:val="0"/>
          <w:divBdr>
            <w:top w:val="none" w:sz="0" w:space="0" w:color="auto"/>
            <w:left w:val="none" w:sz="0" w:space="0" w:color="auto"/>
            <w:bottom w:val="none" w:sz="0" w:space="0" w:color="auto"/>
            <w:right w:val="none" w:sz="0" w:space="0" w:color="auto"/>
          </w:divBdr>
        </w:div>
      </w:divsChild>
    </w:div>
    <w:div w:id="1872567607">
      <w:bodyDiv w:val="1"/>
      <w:marLeft w:val="0"/>
      <w:marRight w:val="0"/>
      <w:marTop w:val="0"/>
      <w:marBottom w:val="0"/>
      <w:divBdr>
        <w:top w:val="none" w:sz="0" w:space="0" w:color="auto"/>
        <w:left w:val="none" w:sz="0" w:space="0" w:color="auto"/>
        <w:bottom w:val="none" w:sz="0" w:space="0" w:color="auto"/>
        <w:right w:val="none" w:sz="0" w:space="0" w:color="auto"/>
      </w:divBdr>
    </w:div>
    <w:div w:id="1953515839">
      <w:bodyDiv w:val="1"/>
      <w:marLeft w:val="0"/>
      <w:marRight w:val="0"/>
      <w:marTop w:val="0"/>
      <w:marBottom w:val="0"/>
      <w:divBdr>
        <w:top w:val="none" w:sz="0" w:space="0" w:color="auto"/>
        <w:left w:val="none" w:sz="0" w:space="0" w:color="auto"/>
        <w:bottom w:val="none" w:sz="0" w:space="0" w:color="auto"/>
        <w:right w:val="none" w:sz="0" w:space="0" w:color="auto"/>
      </w:divBdr>
    </w:div>
    <w:div w:id="1959138729">
      <w:bodyDiv w:val="1"/>
      <w:marLeft w:val="0"/>
      <w:marRight w:val="0"/>
      <w:marTop w:val="0"/>
      <w:marBottom w:val="0"/>
      <w:divBdr>
        <w:top w:val="none" w:sz="0" w:space="0" w:color="auto"/>
        <w:left w:val="none" w:sz="0" w:space="0" w:color="auto"/>
        <w:bottom w:val="none" w:sz="0" w:space="0" w:color="auto"/>
        <w:right w:val="none" w:sz="0" w:space="0" w:color="auto"/>
      </w:divBdr>
      <w:divsChild>
        <w:div w:id="1718819741">
          <w:marLeft w:val="0"/>
          <w:marRight w:val="0"/>
          <w:marTop w:val="0"/>
          <w:marBottom w:val="0"/>
          <w:divBdr>
            <w:top w:val="none" w:sz="0" w:space="0" w:color="auto"/>
            <w:left w:val="none" w:sz="0" w:space="0" w:color="auto"/>
            <w:bottom w:val="none" w:sz="0" w:space="0" w:color="auto"/>
            <w:right w:val="none" w:sz="0" w:space="0" w:color="auto"/>
          </w:divBdr>
        </w:div>
      </w:divsChild>
    </w:div>
    <w:div w:id="1964966376">
      <w:bodyDiv w:val="1"/>
      <w:marLeft w:val="0"/>
      <w:marRight w:val="0"/>
      <w:marTop w:val="0"/>
      <w:marBottom w:val="0"/>
      <w:divBdr>
        <w:top w:val="none" w:sz="0" w:space="0" w:color="auto"/>
        <w:left w:val="none" w:sz="0" w:space="0" w:color="auto"/>
        <w:bottom w:val="none" w:sz="0" w:space="0" w:color="auto"/>
        <w:right w:val="none" w:sz="0" w:space="0" w:color="auto"/>
      </w:divBdr>
    </w:div>
    <w:div w:id="1971476079">
      <w:bodyDiv w:val="1"/>
      <w:marLeft w:val="0"/>
      <w:marRight w:val="0"/>
      <w:marTop w:val="0"/>
      <w:marBottom w:val="0"/>
      <w:divBdr>
        <w:top w:val="none" w:sz="0" w:space="0" w:color="auto"/>
        <w:left w:val="none" w:sz="0" w:space="0" w:color="auto"/>
        <w:bottom w:val="none" w:sz="0" w:space="0" w:color="auto"/>
        <w:right w:val="none" w:sz="0" w:space="0" w:color="auto"/>
      </w:divBdr>
    </w:div>
    <w:div w:id="2003194823">
      <w:bodyDiv w:val="1"/>
      <w:marLeft w:val="0"/>
      <w:marRight w:val="0"/>
      <w:marTop w:val="0"/>
      <w:marBottom w:val="0"/>
      <w:divBdr>
        <w:top w:val="none" w:sz="0" w:space="0" w:color="auto"/>
        <w:left w:val="none" w:sz="0" w:space="0" w:color="auto"/>
        <w:bottom w:val="none" w:sz="0" w:space="0" w:color="auto"/>
        <w:right w:val="none" w:sz="0" w:space="0" w:color="auto"/>
      </w:divBdr>
      <w:divsChild>
        <w:div w:id="1128745899">
          <w:marLeft w:val="0"/>
          <w:marRight w:val="0"/>
          <w:marTop w:val="0"/>
          <w:marBottom w:val="0"/>
          <w:divBdr>
            <w:top w:val="none" w:sz="0" w:space="0" w:color="auto"/>
            <w:left w:val="none" w:sz="0" w:space="0" w:color="auto"/>
            <w:bottom w:val="none" w:sz="0" w:space="0" w:color="auto"/>
            <w:right w:val="none" w:sz="0" w:space="0" w:color="auto"/>
          </w:divBdr>
        </w:div>
      </w:divsChild>
    </w:div>
    <w:div w:id="2035887127">
      <w:bodyDiv w:val="1"/>
      <w:marLeft w:val="0"/>
      <w:marRight w:val="0"/>
      <w:marTop w:val="0"/>
      <w:marBottom w:val="0"/>
      <w:divBdr>
        <w:top w:val="none" w:sz="0" w:space="0" w:color="auto"/>
        <w:left w:val="none" w:sz="0" w:space="0" w:color="auto"/>
        <w:bottom w:val="none" w:sz="0" w:space="0" w:color="auto"/>
        <w:right w:val="none" w:sz="0" w:space="0" w:color="auto"/>
      </w:divBdr>
    </w:div>
    <w:div w:id="2072540366">
      <w:bodyDiv w:val="1"/>
      <w:marLeft w:val="0"/>
      <w:marRight w:val="0"/>
      <w:marTop w:val="0"/>
      <w:marBottom w:val="0"/>
      <w:divBdr>
        <w:top w:val="none" w:sz="0" w:space="0" w:color="auto"/>
        <w:left w:val="none" w:sz="0" w:space="0" w:color="auto"/>
        <w:bottom w:val="none" w:sz="0" w:space="0" w:color="auto"/>
        <w:right w:val="none" w:sz="0" w:space="0" w:color="auto"/>
      </w:divBdr>
    </w:div>
    <w:div w:id="2073385794">
      <w:bodyDiv w:val="1"/>
      <w:marLeft w:val="0"/>
      <w:marRight w:val="0"/>
      <w:marTop w:val="0"/>
      <w:marBottom w:val="0"/>
      <w:divBdr>
        <w:top w:val="none" w:sz="0" w:space="0" w:color="auto"/>
        <w:left w:val="none" w:sz="0" w:space="0" w:color="auto"/>
        <w:bottom w:val="none" w:sz="0" w:space="0" w:color="auto"/>
        <w:right w:val="none" w:sz="0" w:space="0" w:color="auto"/>
      </w:divBdr>
    </w:div>
    <w:div w:id="207585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7616/jamrems.v5i3.536"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ahmat.putra@telkom.co.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738A9-EBAD-4FCE-94F6-4C36AEC78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21066</Words>
  <Characters>120082</Characters>
  <Application>Microsoft Office Word</Application>
  <DocSecurity>0</DocSecurity>
  <Lines>1000</Lines>
  <Paragraphs>281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Microsoft Office User</cp:lastModifiedBy>
  <cp:revision>6</cp:revision>
  <cp:lastPrinted>2020-08-19T02:58:00Z</cp:lastPrinted>
  <dcterms:created xsi:type="dcterms:W3CDTF">2024-09-20T06:19:00Z</dcterms:created>
  <dcterms:modified xsi:type="dcterms:W3CDTF">2024-09-25T07:41:00Z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0f35c3c5-f9e3-38dd-bbb3-8e7b98a552bd</vt:lpwstr>
  </property>
</Properties>
</file>